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大标宋简体" w:hAnsi="方正大标宋简体" w:eastAsia="方正大标宋简体" w:cs="方正大标宋简体"/>
          <w:sz w:val="44"/>
          <w:szCs w:val="44"/>
        </w:rPr>
      </w:pPr>
      <w:r>
        <w:rPr>
          <w:rFonts w:hint="eastAsia" w:ascii="方正大标宋简体" w:hAnsi="方正大标宋简体" w:eastAsia="方正大标宋简体" w:cs="方正大标宋简体"/>
          <w:sz w:val="44"/>
          <w:szCs w:val="44"/>
        </w:rPr>
        <w:t>民兵工作任务的组织和监督及流程图</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ascii="方正黑体简体" w:hAnsi="方正黑体简体" w:eastAsia="方正黑体简体" w:cs="方正黑体简体"/>
          <w:sz w:val="32"/>
          <w:szCs w:val="32"/>
        </w:rPr>
      </w:pPr>
      <w:r>
        <w:rPr>
          <w:rFonts w:hint="eastAsia" w:ascii="方正黑体简体" w:hAnsi="方正黑体简体" w:eastAsia="方正黑体简体" w:cs="方正黑体简体"/>
        </w:rPr>
        <w:t>    </w:t>
      </w:r>
      <w:r>
        <w:rPr>
          <w:rFonts w:hint="eastAsia" w:ascii="方正黑体简体" w:hAnsi="方正黑体简体" w:eastAsia="方正黑体简体" w:cs="方正黑体简体"/>
          <w:sz w:val="32"/>
          <w:szCs w:val="32"/>
        </w:rPr>
        <w:t>一、实施依据</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xml:space="preserve">    《民兵工作条例》 第七条：地方各级人民政府必须加强对民兵工作的领导，统筹安排民兵工作，组织和监督完成民兵工作任务。地方各级人民政府的有关部门，应当协助军事机关开展民兵工作，解决有关问题。</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企业事业单位应当按照当地人民政府和本地区军事领导指挥机关的要求，把民兵工作纳入管理计划，完成民兵工作任务。</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  二、责任事项</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1、日常监督检查责任：建立健全监管制度，积极开展日常性监督检查工作。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2、现场监督检查责任：加强对民兵工作的领导，统筹安排民兵工作，组织和监督完成民兵工作任务。</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3、发现违规违法活动处置及举报责任：检查中发现违法违规活动及时处置，如超出管辖权即移交相关单位处置。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4、其他法律法规规章文件规定应履行的责任。</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  三、追责情形</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1、对符合受理条件不予受理的；</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2、未严格按照相关政策、法律、法规履行审查义务，对应当予以认定的不予认定，或者对不应认定的予以认定；</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3、不依法履行监督职责或者监督不力的；</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4、在工作中滥用职权、徇私舞弊、玩忽职守造成不良后果的；</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5、工作中发生贪污腐败行为的；</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6、其他违反法律法规规章文件规定的行为。</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四、流程图（见附件）</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  五、监督方式 </w:t>
      </w:r>
    </w:p>
    <w:p>
      <w:pPr>
        <w:keepNext w:val="0"/>
        <w:keepLines w:val="0"/>
        <w:pageBreakBefore w:val="0"/>
        <w:widowControl w:val="0"/>
        <w:kinsoku/>
        <w:wordWrap/>
        <w:overflowPunct/>
        <w:topLinePunct w:val="0"/>
        <w:autoSpaceDE/>
        <w:autoSpaceDN/>
        <w:bidi w:val="0"/>
        <w:adjustRightInd/>
        <w:snapToGrid/>
        <w:spacing w:line="520" w:lineRule="exact"/>
        <w:ind w:firstLine="426"/>
        <w:textAlignment w:val="auto"/>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（一）监督电话：0902-6581025 （红星一场纪委） </w:t>
      </w:r>
    </w:p>
    <w:p>
      <w:pPr>
        <w:keepNext w:val="0"/>
        <w:keepLines w:val="0"/>
        <w:pageBreakBefore w:val="0"/>
        <w:widowControl w:val="0"/>
        <w:kinsoku/>
        <w:wordWrap/>
        <w:overflowPunct/>
        <w:topLinePunct w:val="0"/>
        <w:autoSpaceDE/>
        <w:autoSpaceDN/>
        <w:bidi w:val="0"/>
        <w:adjustRightInd/>
        <w:snapToGrid/>
        <w:spacing w:line="520" w:lineRule="exact"/>
        <w:ind w:firstLine="426"/>
        <w:textAlignment w:val="auto"/>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（二）廉政风险点</w:t>
      </w:r>
    </w:p>
    <w:tbl>
      <w:tblPr>
        <w:tblStyle w:val="4"/>
        <w:tblpPr w:leftFromText="180" w:rightFromText="180" w:vertAnchor="text" w:horzAnchor="page" w:tblpXSpec="center" w:tblpY="620"/>
        <w:tblOverlap w:val="never"/>
        <w:tblW w:w="10362" w:type="dxa"/>
        <w:jc w:val="center"/>
        <w:tblBorders>
          <w:top w:val="single" w:color="333333" w:sz="6" w:space="0"/>
          <w:left w:val="single" w:color="333333" w:sz="6" w:space="0"/>
          <w:bottom w:val="single" w:color="333333" w:sz="6" w:space="0"/>
          <w:right w:val="single" w:color="333333" w:sz="6" w:space="0"/>
          <w:insideH w:val="outset" w:color="000000" w:sz="6" w:space="0"/>
          <w:insideV w:val="outset" w:color="000000" w:sz="6" w:space="0"/>
        </w:tblBorders>
        <w:tblLayout w:type="fixed"/>
        <w:tblCellMar>
          <w:top w:w="0" w:type="dxa"/>
          <w:left w:w="0" w:type="dxa"/>
          <w:bottom w:w="0" w:type="dxa"/>
          <w:right w:w="0" w:type="dxa"/>
        </w:tblCellMar>
      </w:tblPr>
      <w:tblGrid>
        <w:gridCol w:w="843"/>
        <w:gridCol w:w="1007"/>
        <w:gridCol w:w="1215"/>
        <w:gridCol w:w="2468"/>
        <w:gridCol w:w="798"/>
        <w:gridCol w:w="3043"/>
        <w:gridCol w:w="988"/>
      </w:tblGrid>
      <w:tr>
        <w:tblPrEx>
          <w:tblBorders>
            <w:top w:val="single" w:color="333333" w:sz="6" w:space="0"/>
            <w:left w:val="single" w:color="333333" w:sz="6" w:space="0"/>
            <w:bottom w:val="single" w:color="333333" w:sz="6" w:space="0"/>
            <w:right w:val="single" w:color="333333" w:sz="6" w:space="0"/>
            <w:insideH w:val="outset" w:color="000000" w:sz="6" w:space="0"/>
            <w:insideV w:val="outset" w:color="000000" w:sz="6" w:space="0"/>
          </w:tblBorders>
          <w:tblCellMar>
            <w:top w:w="0" w:type="dxa"/>
            <w:left w:w="0" w:type="dxa"/>
            <w:bottom w:w="0" w:type="dxa"/>
            <w:right w:w="0" w:type="dxa"/>
          </w:tblCellMar>
        </w:tblPrEx>
        <w:trPr>
          <w:trHeight w:val="1078" w:hRule="atLeast"/>
          <w:jc w:val="center"/>
        </w:trPr>
        <w:tc>
          <w:tcPr>
            <w:tcW w:w="843" w:type="dxa"/>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b/>
                <w:bCs/>
              </w:rPr>
            </w:pPr>
            <w:r>
              <w:rPr>
                <w:rFonts w:ascii="宋体" w:hAnsi="宋体" w:cs="宋体"/>
                <w:b/>
                <w:bCs/>
                <w:kern w:val="0"/>
                <w:sz w:val="27"/>
                <w:szCs w:val="27"/>
              </w:rPr>
              <w:t>序号</w:t>
            </w:r>
          </w:p>
        </w:tc>
        <w:tc>
          <w:tcPr>
            <w:tcW w:w="1007" w:type="dxa"/>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b/>
                <w:bCs/>
              </w:rPr>
            </w:pPr>
            <w:r>
              <w:rPr>
                <w:rFonts w:ascii="宋体" w:hAnsi="宋体" w:cs="宋体"/>
                <w:b/>
                <w:bCs/>
                <w:kern w:val="0"/>
                <w:sz w:val="27"/>
                <w:szCs w:val="27"/>
              </w:rPr>
              <w:t>权力事项</w:t>
            </w:r>
          </w:p>
        </w:tc>
        <w:tc>
          <w:tcPr>
            <w:tcW w:w="1215" w:type="dxa"/>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b/>
                <w:bCs/>
              </w:rPr>
            </w:pPr>
            <w:r>
              <w:rPr>
                <w:rFonts w:ascii="宋体" w:hAnsi="宋体" w:cs="宋体"/>
                <w:b/>
                <w:bCs/>
                <w:kern w:val="0"/>
                <w:sz w:val="27"/>
                <w:szCs w:val="27"/>
              </w:rPr>
              <w:t>廉政风险点数量</w:t>
            </w:r>
          </w:p>
        </w:tc>
        <w:tc>
          <w:tcPr>
            <w:tcW w:w="2468" w:type="dxa"/>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b/>
                <w:bCs/>
              </w:rPr>
            </w:pPr>
            <w:r>
              <w:rPr>
                <w:rFonts w:ascii="宋体" w:hAnsi="宋体" w:cs="宋体"/>
                <w:b/>
                <w:bCs/>
                <w:kern w:val="0"/>
                <w:sz w:val="27"/>
                <w:szCs w:val="27"/>
              </w:rPr>
              <w:t>表现形式</w:t>
            </w:r>
          </w:p>
        </w:tc>
        <w:tc>
          <w:tcPr>
            <w:tcW w:w="798" w:type="dxa"/>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b/>
                <w:bCs/>
              </w:rPr>
            </w:pPr>
            <w:r>
              <w:rPr>
                <w:rFonts w:ascii="宋体" w:hAnsi="宋体" w:cs="宋体"/>
                <w:b/>
                <w:bCs/>
                <w:kern w:val="0"/>
                <w:sz w:val="27"/>
                <w:szCs w:val="27"/>
              </w:rPr>
              <w:t>等级</w:t>
            </w:r>
          </w:p>
        </w:tc>
        <w:tc>
          <w:tcPr>
            <w:tcW w:w="3043" w:type="dxa"/>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b/>
                <w:bCs/>
              </w:rPr>
            </w:pPr>
            <w:r>
              <w:rPr>
                <w:rFonts w:ascii="宋体" w:hAnsi="宋体" w:cs="宋体"/>
                <w:b/>
                <w:bCs/>
                <w:kern w:val="0"/>
                <w:sz w:val="27"/>
                <w:szCs w:val="27"/>
              </w:rPr>
              <w:t>防控措施</w:t>
            </w:r>
          </w:p>
        </w:tc>
        <w:tc>
          <w:tcPr>
            <w:tcW w:w="988" w:type="dxa"/>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b/>
                <w:bCs/>
              </w:rPr>
            </w:pPr>
            <w:r>
              <w:rPr>
                <w:rFonts w:ascii="宋体" w:hAnsi="宋体" w:cs="宋体"/>
                <w:b/>
                <w:bCs/>
                <w:kern w:val="0"/>
                <w:sz w:val="27"/>
                <w:szCs w:val="27"/>
              </w:rPr>
              <w:t>责任人</w:t>
            </w:r>
          </w:p>
        </w:tc>
      </w:tr>
      <w:tr>
        <w:tblPrEx>
          <w:tblBorders>
            <w:top w:val="single" w:color="333333" w:sz="6" w:space="0"/>
            <w:left w:val="single" w:color="333333" w:sz="6" w:space="0"/>
            <w:bottom w:val="single" w:color="333333" w:sz="6" w:space="0"/>
            <w:right w:val="single" w:color="333333" w:sz="6" w:space="0"/>
            <w:insideH w:val="outset" w:color="000000" w:sz="6" w:space="0"/>
            <w:insideV w:val="outset" w:color="000000" w:sz="6" w:space="0"/>
          </w:tblBorders>
          <w:tblCellMar>
            <w:top w:w="0" w:type="dxa"/>
            <w:left w:w="0" w:type="dxa"/>
            <w:bottom w:w="0" w:type="dxa"/>
            <w:right w:w="0" w:type="dxa"/>
          </w:tblCellMar>
        </w:tblPrEx>
        <w:trPr>
          <w:trHeight w:val="2676" w:hRule="atLeast"/>
          <w:jc w:val="center"/>
        </w:trPr>
        <w:tc>
          <w:tcPr>
            <w:tcW w:w="843" w:type="dxa"/>
            <w:vMerge w:val="restart"/>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pPr>
            <w:r>
              <w:rPr>
                <w:rFonts w:ascii="宋体" w:hAnsi="宋体" w:cs="宋体"/>
                <w:kern w:val="0"/>
                <w:sz w:val="27"/>
                <w:szCs w:val="27"/>
              </w:rPr>
              <w:t>146</w:t>
            </w:r>
          </w:p>
        </w:tc>
        <w:tc>
          <w:tcPr>
            <w:tcW w:w="1007" w:type="dxa"/>
            <w:vMerge w:val="restart"/>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pPr>
            <w:r>
              <w:rPr>
                <w:rFonts w:ascii="宋体" w:hAnsi="宋体" w:cs="宋体"/>
                <w:kern w:val="0"/>
                <w:sz w:val="27"/>
                <w:szCs w:val="27"/>
              </w:rPr>
              <w:t>民兵工作任务的组织和监督</w:t>
            </w:r>
          </w:p>
        </w:tc>
        <w:tc>
          <w:tcPr>
            <w:tcW w:w="1215" w:type="dxa"/>
            <w:vMerge w:val="restart"/>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pPr>
            <w:r>
              <w:rPr>
                <w:rFonts w:ascii="宋体" w:hAnsi="宋体" w:cs="宋体"/>
                <w:kern w:val="0"/>
                <w:sz w:val="27"/>
                <w:szCs w:val="27"/>
              </w:rPr>
              <w:t>5</w:t>
            </w:r>
          </w:p>
        </w:tc>
        <w:tc>
          <w:tcPr>
            <w:tcW w:w="2468" w:type="dxa"/>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pPr>
            <w:r>
              <w:rPr>
                <w:rFonts w:ascii="宋体" w:hAnsi="宋体" w:cs="宋体"/>
                <w:kern w:val="0"/>
                <w:sz w:val="27"/>
                <w:szCs w:val="27"/>
              </w:rPr>
              <w:t>受理风险：未依法受理或不予受理，未一次性告知不予受理的理由或需要补充提供的相关材料目录。</w:t>
            </w:r>
          </w:p>
        </w:tc>
        <w:tc>
          <w:tcPr>
            <w:tcW w:w="798" w:type="dxa"/>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pPr>
            <w:r>
              <w:rPr>
                <w:rFonts w:ascii="宋体" w:hAnsi="宋体" w:cs="宋体"/>
                <w:kern w:val="0"/>
                <w:sz w:val="27"/>
                <w:szCs w:val="27"/>
              </w:rPr>
              <w:t>2</w:t>
            </w:r>
          </w:p>
        </w:tc>
        <w:tc>
          <w:tcPr>
            <w:tcW w:w="3043" w:type="dxa"/>
            <w:vMerge w:val="restart"/>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left"/>
              <w:textAlignment w:val="auto"/>
            </w:pPr>
            <w:r>
              <w:rPr>
                <w:rFonts w:ascii="宋体" w:hAnsi="宋体" w:cs="宋体"/>
                <w:kern w:val="0"/>
                <w:sz w:val="27"/>
                <w:szCs w:val="27"/>
              </w:rPr>
              <w:t>1、健全工作机制，公示办理程序；公示办理结果；</w:t>
            </w:r>
            <w:r>
              <w:rPr>
                <w:rFonts w:ascii="宋体" w:hAnsi="宋体" w:cs="宋体"/>
                <w:kern w:val="0"/>
                <w:sz w:val="24"/>
              </w:rPr>
              <w:br w:type="textWrapping"/>
            </w:r>
            <w:r>
              <w:rPr>
                <w:rFonts w:ascii="宋体" w:hAnsi="宋体" w:cs="宋体"/>
                <w:kern w:val="0"/>
                <w:sz w:val="27"/>
                <w:szCs w:val="27"/>
              </w:rPr>
              <w:t>2、加强行政监察，接受社会监督；</w:t>
            </w:r>
            <w:r>
              <w:rPr>
                <w:rFonts w:ascii="宋体" w:hAnsi="宋体" w:cs="宋体"/>
                <w:kern w:val="0"/>
                <w:sz w:val="24"/>
              </w:rPr>
              <w:br w:type="textWrapping"/>
            </w:r>
            <w:r>
              <w:rPr>
                <w:rFonts w:ascii="宋体" w:hAnsi="宋体" w:cs="宋体"/>
                <w:kern w:val="0"/>
                <w:sz w:val="27"/>
                <w:szCs w:val="27"/>
              </w:rPr>
              <w:t>3、强化审计监督；</w:t>
            </w:r>
            <w:r>
              <w:rPr>
                <w:rFonts w:ascii="宋体" w:hAnsi="宋体" w:cs="宋体"/>
                <w:kern w:val="0"/>
                <w:sz w:val="24"/>
              </w:rPr>
              <w:br w:type="textWrapping"/>
            </w:r>
            <w:r>
              <w:rPr>
                <w:rFonts w:ascii="宋体" w:hAnsi="宋体" w:cs="宋体"/>
                <w:kern w:val="0"/>
                <w:sz w:val="27"/>
                <w:szCs w:val="27"/>
              </w:rPr>
              <w:t>4、规范权力运行机制，健全完善规章制度，不徇私舞弊，不带个人感情。</w:t>
            </w:r>
          </w:p>
        </w:tc>
        <w:tc>
          <w:tcPr>
            <w:tcW w:w="988" w:type="dxa"/>
            <w:vMerge w:val="restart"/>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left"/>
              <w:textAlignment w:val="auto"/>
            </w:pPr>
            <w:r>
              <w:rPr>
                <w:rFonts w:ascii="宋体" w:hAnsi="宋体" w:cs="宋体"/>
                <w:kern w:val="0"/>
                <w:sz w:val="27"/>
                <w:szCs w:val="27"/>
              </w:rPr>
              <w:t>分管领导 部门负责人</w:t>
            </w:r>
            <w:r>
              <w:rPr>
                <w:rFonts w:ascii="宋体" w:hAnsi="宋体" w:cs="宋体"/>
                <w:kern w:val="0"/>
                <w:sz w:val="24"/>
              </w:rPr>
              <w:br w:type="textWrapping"/>
            </w:r>
            <w:r>
              <w:rPr>
                <w:rFonts w:ascii="宋体" w:hAnsi="宋体" w:cs="宋体"/>
                <w:kern w:val="0"/>
                <w:sz w:val="27"/>
                <w:szCs w:val="27"/>
              </w:rPr>
              <w:t>具体承办人</w:t>
            </w:r>
          </w:p>
        </w:tc>
      </w:tr>
      <w:tr>
        <w:tblPrEx>
          <w:tblBorders>
            <w:top w:val="single" w:color="333333" w:sz="6" w:space="0"/>
            <w:left w:val="single" w:color="333333" w:sz="6" w:space="0"/>
            <w:bottom w:val="single" w:color="333333" w:sz="6" w:space="0"/>
            <w:right w:val="single" w:color="333333" w:sz="6" w:space="0"/>
            <w:insideH w:val="outset" w:color="000000" w:sz="6" w:space="0"/>
            <w:insideV w:val="outset" w:color="000000" w:sz="6" w:space="0"/>
          </w:tblBorders>
          <w:tblCellMar>
            <w:top w:w="0" w:type="dxa"/>
            <w:left w:w="0" w:type="dxa"/>
            <w:bottom w:w="0" w:type="dxa"/>
            <w:right w:w="0" w:type="dxa"/>
          </w:tblCellMar>
        </w:tblPrEx>
        <w:trPr>
          <w:trHeight w:val="1078" w:hRule="atLeast"/>
          <w:jc w:val="center"/>
        </w:trPr>
        <w:tc>
          <w:tcPr>
            <w:tcW w:w="843" w:type="dxa"/>
            <w:vMerge w:val="continue"/>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ascii="宋体"/>
                <w:sz w:val="24"/>
              </w:rPr>
            </w:pPr>
          </w:p>
        </w:tc>
        <w:tc>
          <w:tcPr>
            <w:tcW w:w="1007" w:type="dxa"/>
            <w:vMerge w:val="continue"/>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ascii="宋体"/>
                <w:sz w:val="24"/>
              </w:rPr>
            </w:pPr>
          </w:p>
        </w:tc>
        <w:tc>
          <w:tcPr>
            <w:tcW w:w="1215" w:type="dxa"/>
            <w:vMerge w:val="continue"/>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ascii="宋体"/>
                <w:sz w:val="24"/>
              </w:rPr>
            </w:pPr>
          </w:p>
        </w:tc>
        <w:tc>
          <w:tcPr>
            <w:tcW w:w="2468" w:type="dxa"/>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pPr>
            <w:r>
              <w:rPr>
                <w:rFonts w:ascii="宋体" w:hAnsi="宋体" w:cs="宋体"/>
                <w:kern w:val="0"/>
                <w:sz w:val="27"/>
                <w:szCs w:val="27"/>
              </w:rPr>
              <w:t>审查风险：未审核申报人提交的材料。</w:t>
            </w:r>
          </w:p>
        </w:tc>
        <w:tc>
          <w:tcPr>
            <w:tcW w:w="798" w:type="dxa"/>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pPr>
            <w:r>
              <w:rPr>
                <w:rFonts w:ascii="宋体" w:hAnsi="宋体" w:cs="宋体"/>
                <w:kern w:val="0"/>
                <w:sz w:val="27"/>
                <w:szCs w:val="27"/>
              </w:rPr>
              <w:t>2</w:t>
            </w:r>
          </w:p>
        </w:tc>
        <w:tc>
          <w:tcPr>
            <w:tcW w:w="3043" w:type="dxa"/>
            <w:vMerge w:val="continue"/>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textAlignment w:val="auto"/>
              <w:rPr>
                <w:rFonts w:ascii="宋体"/>
                <w:sz w:val="24"/>
              </w:rPr>
            </w:pPr>
          </w:p>
        </w:tc>
        <w:tc>
          <w:tcPr>
            <w:tcW w:w="988" w:type="dxa"/>
            <w:vMerge w:val="continue"/>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textAlignment w:val="auto"/>
              <w:rPr>
                <w:rFonts w:ascii="宋体"/>
                <w:sz w:val="24"/>
              </w:rPr>
            </w:pPr>
          </w:p>
        </w:tc>
      </w:tr>
      <w:tr>
        <w:tblPrEx>
          <w:tblBorders>
            <w:top w:val="single" w:color="333333" w:sz="6" w:space="0"/>
            <w:left w:val="single" w:color="333333" w:sz="6" w:space="0"/>
            <w:bottom w:val="single" w:color="333333" w:sz="6" w:space="0"/>
            <w:right w:val="single" w:color="333333" w:sz="6" w:space="0"/>
            <w:insideH w:val="outset" w:color="000000" w:sz="6" w:space="0"/>
            <w:insideV w:val="outset" w:color="000000" w:sz="6" w:space="0"/>
          </w:tblBorders>
          <w:tblCellMar>
            <w:top w:w="0" w:type="dxa"/>
            <w:left w:w="0" w:type="dxa"/>
            <w:bottom w:w="0" w:type="dxa"/>
            <w:right w:w="0" w:type="dxa"/>
          </w:tblCellMar>
        </w:tblPrEx>
        <w:trPr>
          <w:trHeight w:val="1078" w:hRule="atLeast"/>
          <w:jc w:val="center"/>
        </w:trPr>
        <w:tc>
          <w:tcPr>
            <w:tcW w:w="843" w:type="dxa"/>
            <w:vMerge w:val="continue"/>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ascii="宋体"/>
                <w:sz w:val="24"/>
              </w:rPr>
            </w:pPr>
          </w:p>
        </w:tc>
        <w:tc>
          <w:tcPr>
            <w:tcW w:w="1007" w:type="dxa"/>
            <w:vMerge w:val="continue"/>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ascii="宋体"/>
                <w:sz w:val="24"/>
              </w:rPr>
            </w:pPr>
          </w:p>
        </w:tc>
        <w:tc>
          <w:tcPr>
            <w:tcW w:w="1215" w:type="dxa"/>
            <w:vMerge w:val="continue"/>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ascii="宋体"/>
                <w:sz w:val="24"/>
              </w:rPr>
            </w:pPr>
          </w:p>
        </w:tc>
        <w:tc>
          <w:tcPr>
            <w:tcW w:w="2468" w:type="dxa"/>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pPr>
            <w:r>
              <w:rPr>
                <w:rFonts w:ascii="宋体" w:hAnsi="宋体" w:cs="宋体"/>
                <w:kern w:val="0"/>
                <w:sz w:val="27"/>
                <w:szCs w:val="27"/>
              </w:rPr>
              <w:t>决定风险：未根据审核申报人的材料，依法作出的决定；未按时办结；未法定告知。</w:t>
            </w:r>
          </w:p>
        </w:tc>
        <w:tc>
          <w:tcPr>
            <w:tcW w:w="798" w:type="dxa"/>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pPr>
            <w:r>
              <w:rPr>
                <w:rFonts w:ascii="宋体" w:hAnsi="宋体" w:cs="宋体"/>
                <w:kern w:val="0"/>
                <w:sz w:val="27"/>
                <w:szCs w:val="27"/>
              </w:rPr>
              <w:t>1</w:t>
            </w:r>
          </w:p>
        </w:tc>
        <w:tc>
          <w:tcPr>
            <w:tcW w:w="3043" w:type="dxa"/>
            <w:vMerge w:val="continue"/>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textAlignment w:val="auto"/>
              <w:rPr>
                <w:rFonts w:ascii="宋体"/>
                <w:sz w:val="24"/>
              </w:rPr>
            </w:pPr>
          </w:p>
        </w:tc>
        <w:tc>
          <w:tcPr>
            <w:tcW w:w="988" w:type="dxa"/>
            <w:vMerge w:val="continue"/>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textAlignment w:val="auto"/>
              <w:rPr>
                <w:rFonts w:ascii="宋体"/>
                <w:sz w:val="24"/>
              </w:rPr>
            </w:pPr>
          </w:p>
        </w:tc>
      </w:tr>
      <w:tr>
        <w:tblPrEx>
          <w:tblBorders>
            <w:top w:val="single" w:color="333333" w:sz="6" w:space="0"/>
            <w:left w:val="single" w:color="333333" w:sz="6" w:space="0"/>
            <w:bottom w:val="single" w:color="333333" w:sz="6" w:space="0"/>
            <w:right w:val="single" w:color="333333" w:sz="6" w:space="0"/>
            <w:insideH w:val="outset" w:color="000000" w:sz="6" w:space="0"/>
            <w:insideV w:val="outset" w:color="000000" w:sz="6" w:space="0"/>
          </w:tblBorders>
          <w:tblCellMar>
            <w:top w:w="0" w:type="dxa"/>
            <w:left w:w="0" w:type="dxa"/>
            <w:bottom w:w="0" w:type="dxa"/>
            <w:right w:w="0" w:type="dxa"/>
          </w:tblCellMar>
        </w:tblPrEx>
        <w:trPr>
          <w:trHeight w:val="1611" w:hRule="atLeast"/>
          <w:jc w:val="center"/>
        </w:trPr>
        <w:tc>
          <w:tcPr>
            <w:tcW w:w="843" w:type="dxa"/>
            <w:vMerge w:val="continue"/>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ascii="宋体"/>
                <w:sz w:val="24"/>
              </w:rPr>
            </w:pPr>
          </w:p>
        </w:tc>
        <w:tc>
          <w:tcPr>
            <w:tcW w:w="1007" w:type="dxa"/>
            <w:vMerge w:val="continue"/>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ascii="宋体"/>
                <w:sz w:val="24"/>
              </w:rPr>
            </w:pPr>
          </w:p>
        </w:tc>
        <w:tc>
          <w:tcPr>
            <w:tcW w:w="1215" w:type="dxa"/>
            <w:vMerge w:val="continue"/>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ascii="宋体"/>
                <w:sz w:val="24"/>
              </w:rPr>
            </w:pPr>
          </w:p>
        </w:tc>
        <w:tc>
          <w:tcPr>
            <w:tcW w:w="2468" w:type="dxa"/>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pPr>
            <w:r>
              <w:rPr>
                <w:rFonts w:ascii="宋体" w:hAnsi="宋体" w:cs="宋体"/>
                <w:kern w:val="0"/>
                <w:sz w:val="27"/>
                <w:szCs w:val="27"/>
              </w:rPr>
              <w:t>送达风险：未制发相关文书并转报；信息未公开。</w:t>
            </w:r>
          </w:p>
        </w:tc>
        <w:tc>
          <w:tcPr>
            <w:tcW w:w="798" w:type="dxa"/>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pPr>
            <w:r>
              <w:rPr>
                <w:rFonts w:ascii="宋体" w:hAnsi="宋体" w:cs="宋体"/>
                <w:kern w:val="0"/>
                <w:sz w:val="27"/>
                <w:szCs w:val="27"/>
              </w:rPr>
              <w:t>2</w:t>
            </w:r>
          </w:p>
        </w:tc>
        <w:tc>
          <w:tcPr>
            <w:tcW w:w="3043" w:type="dxa"/>
            <w:vMerge w:val="continue"/>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textAlignment w:val="auto"/>
              <w:rPr>
                <w:rFonts w:ascii="宋体"/>
                <w:sz w:val="24"/>
              </w:rPr>
            </w:pPr>
          </w:p>
        </w:tc>
        <w:tc>
          <w:tcPr>
            <w:tcW w:w="988" w:type="dxa"/>
            <w:vMerge w:val="continue"/>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textAlignment w:val="auto"/>
              <w:rPr>
                <w:rFonts w:ascii="宋体"/>
                <w:sz w:val="24"/>
              </w:rPr>
            </w:pPr>
          </w:p>
        </w:tc>
      </w:tr>
      <w:tr>
        <w:tblPrEx>
          <w:tblBorders>
            <w:top w:val="single" w:color="333333" w:sz="6" w:space="0"/>
            <w:left w:val="single" w:color="333333" w:sz="6" w:space="0"/>
            <w:bottom w:val="single" w:color="333333" w:sz="6" w:space="0"/>
            <w:right w:val="single" w:color="333333" w:sz="6" w:space="0"/>
            <w:insideH w:val="outset" w:color="000000" w:sz="6" w:space="0"/>
            <w:insideV w:val="outset" w:color="000000" w:sz="6" w:space="0"/>
          </w:tblBorders>
          <w:tblCellMar>
            <w:top w:w="0" w:type="dxa"/>
            <w:left w:w="0" w:type="dxa"/>
            <w:bottom w:w="0" w:type="dxa"/>
            <w:right w:w="0" w:type="dxa"/>
          </w:tblCellMar>
        </w:tblPrEx>
        <w:trPr>
          <w:trHeight w:val="1624" w:hRule="atLeast"/>
          <w:jc w:val="center"/>
        </w:trPr>
        <w:tc>
          <w:tcPr>
            <w:tcW w:w="843" w:type="dxa"/>
            <w:vMerge w:val="continue"/>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textAlignment w:val="auto"/>
              <w:rPr>
                <w:rFonts w:ascii="宋体"/>
                <w:sz w:val="24"/>
              </w:rPr>
            </w:pPr>
          </w:p>
        </w:tc>
        <w:tc>
          <w:tcPr>
            <w:tcW w:w="1007" w:type="dxa"/>
            <w:vMerge w:val="continue"/>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textAlignment w:val="auto"/>
              <w:rPr>
                <w:rFonts w:ascii="宋体"/>
                <w:sz w:val="24"/>
              </w:rPr>
            </w:pPr>
          </w:p>
        </w:tc>
        <w:tc>
          <w:tcPr>
            <w:tcW w:w="1215" w:type="dxa"/>
            <w:vMerge w:val="continue"/>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textAlignment w:val="auto"/>
              <w:rPr>
                <w:rFonts w:ascii="宋体"/>
                <w:sz w:val="24"/>
              </w:rPr>
            </w:pPr>
          </w:p>
        </w:tc>
        <w:tc>
          <w:tcPr>
            <w:tcW w:w="2468" w:type="dxa"/>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left"/>
              <w:textAlignment w:val="auto"/>
            </w:pPr>
            <w:r>
              <w:rPr>
                <w:rFonts w:ascii="宋体" w:hAnsi="宋体" w:cs="宋体"/>
                <w:kern w:val="0"/>
                <w:sz w:val="27"/>
                <w:szCs w:val="27"/>
              </w:rPr>
              <w:t>事后监管风险：未加强监管，未防止弄虚作假，瞒报谎报材料。</w:t>
            </w:r>
          </w:p>
        </w:tc>
        <w:tc>
          <w:tcPr>
            <w:tcW w:w="798" w:type="dxa"/>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pPr>
            <w:r>
              <w:rPr>
                <w:rFonts w:ascii="宋体" w:hAnsi="宋体" w:cs="宋体"/>
                <w:kern w:val="0"/>
                <w:sz w:val="27"/>
                <w:szCs w:val="27"/>
              </w:rPr>
              <w:t>3</w:t>
            </w:r>
          </w:p>
        </w:tc>
        <w:tc>
          <w:tcPr>
            <w:tcW w:w="3043" w:type="dxa"/>
            <w:vMerge w:val="continue"/>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textAlignment w:val="auto"/>
              <w:rPr>
                <w:rFonts w:ascii="宋体"/>
                <w:sz w:val="24"/>
              </w:rPr>
            </w:pPr>
          </w:p>
        </w:tc>
        <w:tc>
          <w:tcPr>
            <w:tcW w:w="988" w:type="dxa"/>
            <w:vMerge w:val="continue"/>
            <w:tcBorders>
              <w:top w:val="single" w:color="333333" w:sz="6" w:space="0"/>
              <w:left w:val="single" w:color="333333" w:sz="6" w:space="0"/>
              <w:bottom w:val="single" w:color="333333" w:sz="6" w:space="0"/>
              <w:right w:val="single" w:color="333333" w:sz="6"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textAlignment w:val="auto"/>
              <w:rPr>
                <w:rFonts w:ascii="宋体"/>
                <w:sz w:val="24"/>
              </w:rPr>
            </w:pPr>
          </w:p>
        </w:tc>
      </w:tr>
    </w:tbl>
    <w:p>
      <w:pPr>
        <w:rPr>
          <w:rFonts w:ascii="宋体" w:hAnsi="宋体"/>
          <w:sz w:val="30"/>
          <w:szCs w:val="30"/>
        </w:rPr>
      </w:pPr>
      <w:r>
        <w:rPr>
          <w:rFonts w:hint="eastAsia" w:ascii="方正仿宋简体" w:hAnsi="方正仿宋简体" w:eastAsia="方正仿宋简体" w:cs="方正仿宋简体"/>
          <w:sz w:val="32"/>
          <w:szCs w:val="32"/>
        </w:rPr>
        <w:t>   </w:t>
      </w:r>
      <w:bookmarkStart w:id="0" w:name="_GoBack"/>
      <w:bookmarkEnd w:id="0"/>
      <w:r>
        <w:rPr>
          <w:rFonts w:hint="eastAsia" w:ascii="宋体" w:hAnsi="宋体"/>
          <w:sz w:val="30"/>
          <w:szCs w:val="30"/>
        </w:rPr>
        <w:t>附件：</w:t>
      </w:r>
    </w:p>
    <w:p>
      <w:pPr>
        <w:jc w:val="center"/>
        <w:rPr>
          <w:sz w:val="30"/>
          <w:szCs w:val="30"/>
        </w:rPr>
      </w:pPr>
      <w:r>
        <w:rPr>
          <w:rFonts w:hint="eastAsia"/>
          <w:sz w:val="30"/>
          <w:szCs w:val="30"/>
        </w:rPr>
        <w:t>红星一场民兵工作任务的组织和监督流程图</w:t>
      </w:r>
    </w:p>
    <w:p>
      <w:r>
        <w:pict>
          <v:rect id="_x0000_s1038" o:spid="_x0000_s1038" o:spt="1" style="position:absolute;left:0pt;margin-left:0pt;margin-top:276.75pt;height:56.85pt;width:60.75pt;z-index:251664384;v-text-anchor:middle;mso-width-relative:page;mso-height-relative:page;" fillcolor="#C7EDCC" filled="t" stroked="t" coordsize="21600,21600" o:gfxdata="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Co6IEDaAAAACgEAAA8AAAAAAAAAAQAgAAAAIgAAAGRycy9kb3ducmV2&#10;LnhtbFBLAQIUABQAAAAIAIdO4kAfajg2bAIAAL4EAAAOAAAAAAAAAAEAIAAAACkBAABkcnMvZTJv&#10;RG9jLnhtbFBLBQYAAAAABgAGAFkBAAAHBgAAAAA=&#10;">
            <v:path/>
            <v:fill on="t" focussize="0,0"/>
            <v:stroke weight="1pt" color="#70AD47"/>
            <v:imagedata o:title=""/>
            <o:lock v:ext="edit"/>
            <v:textbox>
              <w:txbxContent>
                <w:p>
                  <w:pPr>
                    <w:jc w:val="center"/>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办结</w:t>
                  </w:r>
                </w:p>
              </w:txbxContent>
            </v:textbox>
          </v:rect>
        </w:pict>
      </w:r>
      <w:r>
        <w:rPr>
          <w:rFonts w:ascii="方正仿宋简体" w:hAnsi="方正仿宋简体" w:eastAsia="方正仿宋简体" w:cs="方正仿宋简体"/>
        </w:rPr>
        <w:pict>
          <v:rect id="_x0000_s1039" o:spid="_x0000_s1039" o:spt="1" style="position:absolute;left:0pt;margin-left:0pt;margin-top:449.8pt;height:161.15pt;width:370.95pt;z-index:251665408;v-text-anchor:middle;mso-width-relative:page;mso-height-relative:page;" fillcolor="#C7EDCC" filled="t" stroked="t" coordsize="21600,21600" o:gfxdata="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ctmJI9oAAAAKAQAADwAAAAAAAAABACAAAAAiAAAAZHJzL2Rvd25y&#10;ZXYueG1sUEsBAhQAFAAAAAgAh07iQF/I29BuAgAAwAQAAA4AAAAAAAAAAQAgAAAAKQEAAGRycy9l&#10;Mm9Eb2MueG1sUEsFBgAAAAAGAAYAWQEAAAkGAAAAAA==&#10;">
            <v:path/>
            <v:fill on="t" focussize="0,0"/>
            <v:stroke weight="1pt" color="#70AD47"/>
            <v:imagedata o:title=""/>
            <o:lock v:ext="edit"/>
            <v:textbox>
              <w:txbxContent>
                <w:p>
                  <w:pPr>
                    <w:jc w:val="left"/>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责任部门：武装部</w:t>
                  </w:r>
                </w:p>
                <w:p>
                  <w:pPr>
                    <w:jc w:val="left"/>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责任人：  罗汉兵</w:t>
                  </w:r>
                </w:p>
                <w:p>
                  <w:pPr>
                    <w:jc w:val="left"/>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审核人：  蒋  平</w:t>
                  </w:r>
                </w:p>
                <w:p>
                  <w:pPr>
                    <w:jc w:val="left"/>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复核人：  蒋  平</w:t>
                  </w:r>
                </w:p>
              </w:txbxContent>
            </v:textbox>
          </v:rect>
        </w:pict>
      </w:r>
      <w:r>
        <w:pict>
          <v:shape id="_x0000_s1026" o:spid="_x0000_s1026" o:spt="32" type="#_x0000_t32" style="position:absolute;left:0pt;flip:y;margin-left:49.6pt;margin-top:307.9pt;height:0.45pt;width:48.45pt;z-index:251663360;mso-width-relative:page;mso-height-relative:page;" filled="f" stroked="t" coordsize="21600,21600" o:gfxdata="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jcXIO1wAAAAoBAAAPAAAAAAAAAAEA&#10;IAAAACIAAABkcnMvZG93bnJldi54bWxQSwECFAAUAAAACACHTuJA8flIbBACAADRAwAADgAAAAAA&#10;AAABACAAAAAmAQAAZHJzL2Uyb0RvYy54bWxQSwUGAAAAAAYABgBZAQAAqAUAAAAA&#10;">
            <v:path arrowok="t"/>
            <v:fill on="f" focussize="0,0"/>
            <v:stroke weight="0.5pt" color="#5B9BD5" joinstyle="miter" endarrow="open"/>
            <v:imagedata o:title=""/>
            <o:lock v:ext="edit"/>
          </v:shape>
        </w:pict>
      </w:r>
      <w:r>
        <w:pict>
          <v:rect id="_x0000_s1037" o:spid="_x0000_s1037" o:spt="1" style="position:absolute;left:0pt;margin-left:-6.5pt;margin-top:162.6pt;height:58.8pt;width:68.35pt;z-index:251662336;v-text-anchor:middle;mso-width-relative:page;mso-height-relative:page;" fillcolor="#C7EDCC" filled="t" stroked="t" coordsize="21600,21600" o:gfxdata="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CfDiAx2wAAAAsBAAAPAAAAAAAAAAEAIAAAACIAAABkcnMvZG93&#10;bnJldi54bWxQSwECFAAUAAAACACHTuJAI4Bg5W8CAAC+BAAADgAAAAAAAAABACAAAAAqAQAAZHJz&#10;L2Uyb0RvYy54bWxQSwUGAAAAAAYABgBZAQAACwYAAAAA&#10;">
            <v:path/>
            <v:fill on="t" focussize="0,0"/>
            <v:stroke weight="1pt" color="#70AD47"/>
            <v:imagedata o:title=""/>
            <o:lock v:ext="edit"/>
            <v:textbox>
              <w:txbxContent>
                <w:p>
                  <w:pPr>
                    <w:jc w:val="center"/>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审核</w:t>
                  </w:r>
                </w:p>
              </w:txbxContent>
            </v:textbox>
          </v:rect>
        </w:pict>
      </w:r>
      <w:r>
        <w:pict>
          <v:rect id="_x0000_s1036" o:spid="_x0000_s1036" o:spt="1" style="position:absolute;left:0pt;margin-left:-5.4pt;margin-top:38.2pt;height:74.05pt;width:71.1pt;z-index:251660288;v-text-anchor:middle;mso-width-relative:page;mso-height-relative:page;" fillcolor="#C7EDCC" filled="t" stroked="t" coordsize="21600,21600" o:gfxdata="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5WuPoNkAAAAKAQAADwAAAAAAAAABACAAAAAiAAAAZHJzL2Rvd25yZXYu&#10;eG1sUEsBAhQAFAAAAAgAh07iQIV0kmpsAgAAvgQAAA4AAAAAAAAAAQAgAAAAKAEAAGRycy9lMm9E&#10;b2MueG1sUEsFBgAAAAAGAAYAWQEAAAYGAAAAAA==&#10;">
            <v:path/>
            <v:fill on="t" focussize="0,0"/>
            <v:stroke weight="1pt" color="#70AD47"/>
            <v:imagedata o:title=""/>
            <o:lock v:ext="edit"/>
            <v:textbox>
              <w:txbxContent>
                <w:p>
                  <w:pPr>
                    <w:jc w:val="center"/>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受理</w:t>
                  </w:r>
                </w:p>
              </w:txbxContent>
            </v:textbox>
          </v:rect>
        </w:pict>
      </w:r>
      <w:r>
        <w:rPr>
          <w:rFonts w:ascii="方正仿宋简体" w:hAnsi="方正仿宋简体" w:eastAsia="方正仿宋简体" w:cs="方正仿宋简体"/>
        </w:rPr>
        <w:pict>
          <v:group id="_x0000_s1029" o:spid="_x0000_s1029" o:spt="203" style="position:absolute;left:0pt;margin-left:0pt;margin-top:13.2pt;height:401.05pt;width:432pt;z-index:251658240;mso-width-relative:page;mso-height-relative:page;" coordorigin="17,0" coordsize="7514,8289203" o:gfxdata="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">
            <o:lock v:ext="edit"/>
            <v:rect id="_x0000_s1035" o:spid="_x0000_s1035" o:spt="1" style="position:absolute;left:17;top:0;height:8289;width:7514;"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path/>
              <v:fill on="f" focussize="0,0"/>
              <v:stroke on="f"/>
              <v:imagedata o:title=""/>
              <o:lock v:ext="edit" text="t" aspectratio="t"/>
            </v:rect>
            <v:rect id="_x0000_s1034" o:spid="_x0000_s1034" o:spt="1" style="position:absolute;left:1879;top:272;height:2126;width:4070;" coordsize="21600,21600" o:gfxdata="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sgI+vQAA&#10;ANoAAAAPAAAAAAAAAAEAIAAAACIAAABkcnMvZG93bnJldi54bWxQSwECFAAUAAAACACHTuJAMy8F&#10;njsAAAA5AAAAEAAAAAAAAAABACAAAAAMAQAAZHJzL3NoYXBleG1sLnhtbFBLBQYAAAAABgAGAFsB&#10;AAC2AwAAAAA=&#10;">
              <v:path/>
              <v:fill focussize="0,0"/>
              <v:stroke/>
              <v:imagedata o:title=""/>
              <o:lock v:ext="edit"/>
              <v:textbox>
                <w:txbxContent>
                  <w:p>
                    <w:pPr>
                      <w:jc w:val="center"/>
                      <w:rPr>
                        <w:rFonts w:ascii="方正仿宋简体" w:hAnsi="方正仿宋简体" w:eastAsia="方正仿宋简体" w:cs="方正仿宋简体"/>
                        <w:color w:val="000000"/>
                        <w:szCs w:val="21"/>
                      </w:rPr>
                    </w:pPr>
                    <w:r>
                      <w:rPr>
                        <w:rFonts w:hint="eastAsia"/>
                        <w:color w:val="000000"/>
                        <w:szCs w:val="21"/>
                      </w:rPr>
                      <w:t xml:space="preserve">    </w:t>
                    </w:r>
                    <w:r>
                      <w:rPr>
                        <w:rFonts w:hint="eastAsia" w:ascii="方正仿宋简体" w:hAnsi="方正仿宋简体" w:eastAsia="方正仿宋简体" w:cs="方正仿宋简体"/>
                        <w:color w:val="000000"/>
                        <w:szCs w:val="21"/>
                      </w:rPr>
                      <w:t>团场（乡镇）武装部建立民兵工作领导制度，成立领导小组及办公室，加强对民兵的教育、管理和领导，督促民兵正确履行“三位一体”基本机制，安时参加民兵整组，完成年度军事训练任务、政治教育、年终考核等任务。受理基干民兵反映的各类问题，做好登记，及时做好政策解释。</w:t>
                    </w:r>
                  </w:p>
                  <w:p>
                    <w:pPr>
                      <w:rPr>
                        <w:rFonts w:ascii="方正仿宋简体" w:hAnsi="方正仿宋简体" w:eastAsia="方正仿宋简体" w:cs="方正仿宋简体"/>
                      </w:rPr>
                    </w:pPr>
                  </w:p>
                </w:txbxContent>
              </v:textbox>
            </v:rect>
            <v:rect id="_x0000_s1033" o:spid="_x0000_s1033" o:spt="1" style="position:absolute;left:1879;top:2718;height:1813;width:4380;"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path/>
              <v:fill focussize="0,0"/>
              <v:stroke/>
              <v:imagedata o:title=""/>
              <o:lock v:ext="edit"/>
              <v:textbox>
                <w:txbxContent>
                  <w:p>
                    <w:pPr>
                      <w:ind w:firstLine="420" w:firstLineChars="200"/>
                      <w:jc w:val="left"/>
                      <w:rPr>
                        <w:rFonts w:ascii="方正仿宋简体" w:hAnsi="方正仿宋简体" w:eastAsia="方正仿宋简体" w:cs="方正仿宋简体"/>
                        <w:szCs w:val="21"/>
                      </w:rPr>
                    </w:pPr>
                    <w:r>
                      <w:rPr>
                        <w:rFonts w:hint="eastAsia" w:ascii="方正仿宋简体" w:hAnsi="方正仿宋简体" w:eastAsia="方正仿宋简体" w:cs="方正仿宋简体"/>
                        <w:szCs w:val="21"/>
                      </w:rPr>
                      <w:t xml:space="preserve">按照师人武部党委、师党委民兵办的要求，依法依规做好年度兵役登记、潜力调查、征兵、整组、训练、考核等工作，对不认真履行民兵义务的基干民兵进行处置，拒不履行民兵义务的将依照相关规定收回土地，开除职工队伍。 </w:t>
                    </w:r>
                  </w:p>
                </w:txbxContent>
              </v:textbox>
            </v:rect>
            <v:rect id="_x0000_s1032" o:spid="_x0000_s1032" o:spt="1" style="position:absolute;left:1722;top:5028;height:2578;width:4540;" coordsize="21600,21600" o:gfxdata="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Fz/RvQAA&#10;ANoAAAAPAAAAAAAAAAEAIAAAACIAAABkcnMvZG93bnJldi54bWxQSwECFAAUAAAACACHTuJAMy8F&#10;njsAAAA5AAAAEAAAAAAAAAABACAAAAAMAQAAZHJzL3NoYXBleG1sLnhtbFBLBQYAAAAABgAGAFsB&#10;AAC2AwAAAAA=&#10;">
              <v:path/>
              <v:fill focussize="0,0"/>
              <v:stroke/>
              <v:imagedata o:title=""/>
              <o:lock v:ext="edit"/>
              <v:textbox>
                <w:txbxContent>
                  <w:p>
                    <w:pPr>
                      <w:ind w:firstLine="420" w:firstLineChars="200"/>
                      <w:rPr>
                        <w:rFonts w:ascii="方正仿宋简体" w:hAnsi="方正仿宋简体" w:eastAsia="方正仿宋简体" w:cs="方正仿宋简体"/>
                        <w:szCs w:val="21"/>
                      </w:rPr>
                    </w:pPr>
                    <w:r>
                      <w:rPr>
                        <w:rFonts w:hint="eastAsia" w:ascii="方正仿宋简体" w:hAnsi="方正仿宋简体" w:eastAsia="方正仿宋简体" w:cs="方正仿宋简体"/>
                        <w:color w:val="333333"/>
                        <w:kern w:val="0"/>
                        <w:szCs w:val="21"/>
                      </w:rPr>
                      <w:t>本人因特殊原因不能参加年度军事训练、政治教育的，要向团场（乡镇）武装部书面说明。基干民兵离开省域30天以上的，要向连队、武装部书面请假。担负战备勤务的基干民兵离开团场1天以上，要向团场武装部及时请假。返回后及时销假。对基干民兵反馈的各类问题要在15个工作日内给予回复，将相关信息及时归档。</w:t>
                    </w:r>
                  </w:p>
                  <w:p>
                    <w:pPr>
                      <w:jc w:val="center"/>
                      <w:rPr>
                        <w:szCs w:val="21"/>
                      </w:rPr>
                    </w:pPr>
                  </w:p>
                  <w:p/>
                </w:txbxContent>
              </v:textbox>
            </v:rect>
            <v:line id="_x0000_s1031" o:spid="_x0000_s1031" o:spt="20" style="position:absolute;left:4070;top:3805;height:1087;width:1;" coordsize="21600,21600" o:gfxdata="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nn+Hb4A&#10;AADaAAAADwAAAAAAAAABACAAAAAiAAAAZHJzL2Rvd25yZXYueG1sUEsBAhQAFAAAAAgAh07iQDMv&#10;BZ47AAAAOQAAABAAAAAAAAAAAQAgAAAADQEAAGRycy9zaGFwZXhtbC54bWxQSwUGAAAAAAYABgBb&#10;AQAAtwMAAAAA&#10;">
              <v:path arrowok="t"/>
              <v:fill focussize="0,0"/>
              <v:stroke endarrow="block"/>
              <v:imagedata o:title=""/>
              <o:lock v:ext="edit"/>
            </v:line>
            <v:line id="_x0000_s1030" o:spid="_x0000_s1030" o:spt="20" style="position:absolute;left:3914;top:1554;height:1221;width:1;" coordsize="21600,21600" o:gfxdata="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q2BqvQAA&#10;ANoAAAAPAAAAAAAAAAEAIAAAACIAAABkcnMvZG93bnJldi54bWxQSwECFAAUAAAACACHTuJAMy8F&#10;njsAAAA5AAAAEAAAAAAAAAABACAAAAAMAQAAZHJzL3NoYXBleG1sLnhtbFBLBQYAAAAABgAGAFsB&#10;AAC2AwAAAAA=&#10;">
              <v:path arrowok="t"/>
              <v:fill focussize="0,0"/>
              <v:stroke endarrow="block"/>
              <v:imagedata o:title=""/>
              <o:lock v:ext="edit"/>
            </v:line>
          </v:group>
        </w:pict>
      </w:r>
      <w:r>
        <w:pict>
          <v:shape id="_x0000_s1028" o:spid="_x0000_s1028" o:spt="32" type="#_x0000_t32" style="position:absolute;left:0pt;flip:y;margin-left:67.6pt;margin-top:185.35pt;height:0.95pt;width:38.95pt;z-index:251661312;mso-width-relative:page;mso-height-relative:page;" filled="f" stroked="t" coordsize="21600,21600" o:gfxdata="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LSSR3YAAAACwEAAA8AAAAAAAAAAQAgAAAAIgAAAGRycy9k&#10;b3ducmV2LnhtbFBLAQIUABQAAAAIAIdO4kA/gUihAgIAAKsDAAAOAAAAAAAAAAEAIAAAACcBAABk&#10;cnMvZTJvRG9jLnhtbFBLBQYAAAAABgAGAFkBAACbBQAAAAA=&#10;">
            <v:path arrowok="t"/>
            <v:fill on="f" focussize="0,0"/>
            <v:stroke weight="0.5pt" color="#5B9BD5" joinstyle="miter" endarrow="open"/>
            <v:imagedata o:title=""/>
            <o:lock v:ext="edit"/>
          </v:shape>
        </w:pict>
      </w:r>
      <w:r>
        <w:pict>
          <v:shape id="_x0000_s1027" o:spid="_x0000_s1027" o:spt="32" type="#_x0000_t32" style="position:absolute;left:0pt;margin-left:64.75pt;margin-top:74.3pt;height:0.95pt;width:48.4pt;z-index:251659264;mso-width-relative:page;mso-height-relative:page;" filled="f" stroked="t" coordsize="21600,21600" o:gfxdata="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wsN20NgAAAALAQAADwAAAAAAAAABACAAAAAiAAAAZHJzL2Rvd25yZXYu&#10;eG1sUEsBAhQAFAAAAAgAh07iQHmDYvD7AQAAnwMAAA4AAAAAAAAAAQAgAAAAJwEAAGRycy9lMm9E&#10;b2MueG1sUEsFBgAAAAAGAAYAWQEAAJQFAAAAAA==&#10;">
            <v:path arrowok="t"/>
            <v:fill on="f" focussize="0,0"/>
            <v:stroke weight="0.5pt" color="#5B9BD5" joinstyle="miter" endarrow="open"/>
            <v:imagedata o:title=""/>
            <o:lock v:ext="edit"/>
          </v:shape>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panose1 w:val="02010601030101010101"/>
    <w:charset w:val="86"/>
    <w:family w:val="script"/>
    <w:pitch w:val="default"/>
    <w:sig w:usb0="00000001" w:usb1="080E0000" w:usb2="00000000" w:usb3="00000000" w:csb0="00040000" w:csb1="00000000"/>
  </w:font>
  <w:font w:name="方正黑体简体">
    <w:panose1 w:val="02010601030101010101"/>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88B510E"/>
    <w:rsid w:val="001D6F0F"/>
    <w:rsid w:val="00532B91"/>
    <w:rsid w:val="00982A57"/>
    <w:rsid w:val="00B54054"/>
    <w:rsid w:val="00F02DC3"/>
    <w:rsid w:val="0747719F"/>
    <w:rsid w:val="22615577"/>
    <w:rsid w:val="488B510E"/>
    <w:rsid w:val="520D2640"/>
    <w:rsid w:val="57F13AEA"/>
    <w:rsid w:val="60C20132"/>
    <w:rsid w:val="60F23E26"/>
    <w:rsid w:val="73F66AB2"/>
    <w:rsid w:val="7DF960E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6"/>
        <o:r id="V:Rule2" type="connector" idref="#_x0000_s1027"/>
        <o:r id="V:Rule3" type="connector" idref="#_x0000_s1028"/>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rFonts w:ascii="Calibri" w:hAnsi="Calibri" w:eastAsia="宋体" w:cs="Times New Roman"/>
      <w:kern w:val="2"/>
      <w:sz w:val="18"/>
      <w:szCs w:val="18"/>
    </w:rPr>
  </w:style>
  <w:style w:type="character" w:customStyle="1" w:styleId="7">
    <w:name w:val="页脚 Char"/>
    <w:basedOn w:val="5"/>
    <w:link w:val="2"/>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8"/>
    <customShpInfo spid="_x0000_s1039"/>
    <customShpInfo spid="_x0000_s1026"/>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868</Words>
  <Characters>192</Characters>
  <Lines>1</Lines>
  <Paragraphs>2</Paragraphs>
  <TotalTime>17</TotalTime>
  <ScaleCrop>false</ScaleCrop>
  <LinksUpToDate>false</LinksUpToDate>
  <CharactersWithSpaces>1058</CharactersWithSpaces>
  <Application>WPS Office_11.1.0.9929_F1E327BC-269C-435d-A152-05C5408002CA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2021-01-26T07:47:00Z</dcterms:created>
  <dc:creator>只为红颜一笑815682</dc:creator>
  <cp:lastModifiedBy>成金美</cp:lastModifiedBy>
  <cp:lastPrinted>2021-03-03T03:27:48Z</cp:lastPrinted>
  <dcterms:modified xsi:type="dcterms:W3CDTF">2021-03-03T03:27:53Z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2052-11.1.0.9929</vt:lpwstr>
  </property>
  <property fmtid="{D5CDD505-2E9C-101B-9397-08002B2CF9AE}" pid="3" name="KSOSaveFontToCloudKey">
    <vt:lpwstr>815682_cloud</vt:lpwstr>
  </property>
</Properties>
</file>