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b/>
          <w:bCs/>
          <w:color w:val="auto"/>
          <w:sz w:val="28"/>
          <w:szCs w:val="28"/>
        </w:rPr>
      </w:pPr>
      <w:r>
        <w:rPr>
          <w:rFonts w:ascii="宋体" w:hAnsi="宋体" w:eastAsia="宋体" w:cs="宋体"/>
          <w:color w:val="FF0000"/>
          <w:sz w:val="24"/>
        </w:rPr>
        <w:br w:type="textWrapping"/>
      </w:r>
    </w:p>
    <w:p>
      <w:pPr>
        <w:spacing w:line="560" w:lineRule="exact"/>
        <w:jc w:val="center"/>
        <w:rPr>
          <w:rFonts w:ascii="仿宋" w:hAnsi="仿宋" w:eastAsia="仿宋"/>
          <w:b/>
          <w:bCs/>
          <w:color w:val="auto"/>
          <w:sz w:val="28"/>
          <w:szCs w:val="28"/>
        </w:rPr>
      </w:pPr>
      <w:r>
        <w:rPr>
          <w:rFonts w:hint="eastAsia" w:ascii="仿宋" w:hAnsi="仿宋" w:eastAsia="仿宋"/>
          <w:b/>
          <w:bCs/>
          <w:color w:val="auto"/>
          <w:sz w:val="28"/>
          <w:szCs w:val="28"/>
        </w:rPr>
        <w:t xml:space="preserve">             </w:t>
      </w:r>
    </w:p>
    <w:p>
      <w:pPr>
        <w:spacing w:line="560" w:lineRule="exact"/>
        <w:jc w:val="center"/>
        <w:rPr>
          <w:rFonts w:ascii="仿宋" w:hAnsi="仿宋" w:eastAsia="仿宋"/>
          <w:b/>
          <w:bCs/>
          <w:color w:val="auto"/>
          <w:sz w:val="44"/>
        </w:rPr>
      </w:pPr>
      <w:r>
        <w:rPr>
          <w:rFonts w:hint="eastAsia" w:ascii="仿宋" w:hAnsi="仿宋" w:eastAsia="仿宋"/>
          <w:b/>
          <w:bCs/>
          <w:color w:val="auto"/>
          <w:sz w:val="28"/>
          <w:szCs w:val="28"/>
        </w:rPr>
        <w:t xml:space="preserve">       </w:t>
      </w:r>
      <w:r>
        <w:rPr>
          <w:rFonts w:hint="eastAsia" w:ascii="仿宋" w:hAnsi="仿宋" w:eastAsia="仿宋"/>
          <w:b/>
          <w:bCs/>
          <w:color w:val="auto"/>
          <w:sz w:val="44"/>
        </w:rPr>
        <w:t xml:space="preserve">   </w:t>
      </w:r>
    </w:p>
    <w:p>
      <w:pPr>
        <w:spacing w:line="560" w:lineRule="exact"/>
        <w:jc w:val="center"/>
        <w:rPr>
          <w:rFonts w:ascii="仿宋" w:hAnsi="仿宋" w:eastAsia="仿宋"/>
          <w:b/>
          <w:bCs/>
          <w:color w:val="auto"/>
          <w:sz w:val="32"/>
          <w:szCs w:val="32"/>
        </w:rPr>
      </w:pPr>
      <w:r>
        <w:rPr>
          <w:rFonts w:hint="eastAsia" w:ascii="仿宋" w:hAnsi="仿宋" w:eastAsia="仿宋"/>
          <w:b/>
          <w:bCs/>
          <w:color w:val="auto"/>
          <w:sz w:val="44"/>
        </w:rPr>
        <w:t xml:space="preserve">                       </w:t>
      </w:r>
      <w:r>
        <w:rPr>
          <w:rFonts w:hint="eastAsia" w:ascii="方正仿宋简体" w:hAnsi="方正仿宋简体" w:eastAsia="方正仿宋简体" w:cs="方正仿宋简体"/>
          <w:b/>
          <w:bCs/>
          <w:color w:val="auto"/>
          <w:spacing w:val="-45"/>
          <w:sz w:val="32"/>
          <w:szCs w:val="32"/>
        </w:rPr>
        <w:t>生态环境局</w:t>
      </w:r>
    </w:p>
    <w:p>
      <w:pPr>
        <w:spacing w:line="560" w:lineRule="exact"/>
        <w:rPr>
          <w:rFonts w:ascii="仿宋" w:hAnsi="仿宋" w:eastAsia="仿宋"/>
          <w:color w:val="auto"/>
          <w:sz w:val="18"/>
          <w:szCs w:val="18"/>
        </w:rPr>
      </w:pPr>
    </w:p>
    <w:p>
      <w:pPr>
        <w:spacing w:line="560" w:lineRule="exact"/>
        <w:rPr>
          <w:rFonts w:ascii="仿宋" w:hAnsi="仿宋" w:eastAsia="仿宋"/>
          <w:color w:val="auto"/>
          <w:sz w:val="18"/>
          <w:szCs w:val="18"/>
        </w:rPr>
      </w:pPr>
    </w:p>
    <w:p>
      <w:pPr>
        <w:spacing w:line="560" w:lineRule="exact"/>
        <w:rPr>
          <w:rFonts w:ascii="仿宋" w:hAnsi="仿宋" w:eastAsia="仿宋"/>
          <w:color w:val="auto"/>
          <w:sz w:val="24"/>
        </w:rPr>
      </w:pPr>
    </w:p>
    <w:p>
      <w:pPr>
        <w:spacing w:line="560" w:lineRule="exact"/>
        <w:jc w:val="center"/>
        <w:rPr>
          <w:rFonts w:ascii="仿宋" w:hAnsi="仿宋" w:eastAsia="方正仿宋简体" w:cs="方正仿宋简体"/>
          <w:color w:val="auto"/>
          <w:sz w:val="32"/>
          <w:szCs w:val="32"/>
        </w:rPr>
      </w:pPr>
      <w:r>
        <w:rPr>
          <w:rFonts w:hint="eastAsia" w:ascii="方正仿宋简体" w:hAnsi="方正仿宋简体" w:eastAsia="方正仿宋简体" w:cs="方正仿宋简体"/>
          <w:color w:val="auto"/>
          <w:sz w:val="32"/>
          <w:szCs w:val="32"/>
        </w:rPr>
        <w:t>师环审〔2020〕</w:t>
      </w:r>
      <w:r>
        <w:rPr>
          <w:rFonts w:hint="eastAsia" w:ascii="方正仿宋简体" w:hAnsi="方正仿宋简体" w:eastAsia="方正仿宋简体" w:cs="方正仿宋简体"/>
          <w:color w:val="auto"/>
          <w:sz w:val="32"/>
          <w:szCs w:val="32"/>
          <w:lang w:val="en-US" w:eastAsia="zh-CN"/>
        </w:rPr>
        <w:t>30</w:t>
      </w:r>
      <w:r>
        <w:rPr>
          <w:rFonts w:hint="eastAsia" w:ascii="方正仿宋简体" w:hAnsi="方正仿宋简体" w:eastAsia="方正仿宋简体" w:cs="方正仿宋简体"/>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hanging="301" w:hangingChars="150"/>
        <w:jc w:val="center"/>
        <w:textAlignment w:val="auto"/>
        <w:rPr>
          <w:rFonts w:ascii="仿宋" w:hAnsi="仿宋" w:eastAsia="仿宋"/>
          <w:b/>
          <w:bCs/>
          <w:color w:val="FF0000"/>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pacing w:val="-11"/>
          <w:sz w:val="44"/>
          <w:szCs w:val="44"/>
        </w:rPr>
        <w:t>关</w:t>
      </w:r>
      <w:r>
        <w:rPr>
          <w:rFonts w:hint="eastAsia" w:ascii="方正小标宋简体" w:hAnsi="方正小标宋简体" w:eastAsia="方正小标宋简体" w:cs="方正小标宋简体"/>
          <w:color w:val="000000" w:themeColor="text1"/>
          <w:sz w:val="44"/>
          <w:szCs w:val="44"/>
        </w:rPr>
        <w:t>于新疆隆力泽环保洁净型煤有限公司年产</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30万吨型煤项目环境影响报告表的批复</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方正仿宋简体" w:hAnsi="方正仿宋简体" w:eastAsia="方正仿宋简体" w:cs="方正仿宋简体"/>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新疆隆力泽环保洁净型煤有限公司：</w:t>
      </w:r>
    </w:p>
    <w:p>
      <w:pPr>
        <w:pStyle w:val="12"/>
        <w:keepNext w:val="0"/>
        <w:keepLines w:val="0"/>
        <w:pageBreakBefore w:val="0"/>
        <w:kinsoku/>
        <w:wordWrap/>
        <w:overflowPunct/>
        <w:autoSpaceDE/>
        <w:autoSpaceDN/>
        <w:bidi w:val="0"/>
        <w:adjustRightInd/>
        <w:snapToGrid/>
        <w:spacing w:line="560" w:lineRule="exact"/>
        <w:ind w:firstLine="640" w:firstLineChars="200"/>
        <w:jc w:val="both"/>
        <w:textAlignment w:val="auto"/>
        <w:rPr>
          <w:color w:val="000000" w:themeColor="text1"/>
        </w:rPr>
      </w:pPr>
      <w:r>
        <w:rPr>
          <w:rFonts w:hint="eastAsia" w:ascii="方正仿宋简体" w:hAnsi="方正仿宋简体" w:eastAsia="方正仿宋简体" w:cs="方正仿宋简体"/>
          <w:color w:val="000000" w:themeColor="text1"/>
        </w:rPr>
        <w:t>你单位报送的由</w:t>
      </w:r>
      <w:r>
        <w:rPr>
          <w:rFonts w:ascii="方正仿宋简体" w:hAnsi="方正仿宋简体" w:eastAsia="方正仿宋简体" w:cs="方正仿宋简体"/>
          <w:color w:val="000000" w:themeColor="text1"/>
        </w:rPr>
        <w:t>新疆绿佳源环保科技有限公司</w:t>
      </w:r>
      <w:r>
        <w:rPr>
          <w:rFonts w:hint="eastAsia" w:ascii="方正仿宋简体" w:hAnsi="方正仿宋简体" w:eastAsia="方正仿宋简体" w:cs="方正仿宋简体"/>
          <w:color w:val="000000" w:themeColor="text1"/>
        </w:rPr>
        <w:t>编制的《新疆隆力泽环保洁净型煤有限公司年产30万吨型煤项目环</w:t>
      </w:r>
      <w:r>
        <w:rPr>
          <w:rFonts w:hint="eastAsia" w:ascii="方正仿宋简体" w:hAnsi="方正仿宋简体" w:eastAsia="方正仿宋简体" w:cs="方正仿宋简体"/>
          <w:bCs/>
          <w:color w:val="000000" w:themeColor="text1"/>
        </w:rPr>
        <w:t>境影响报告表</w:t>
      </w:r>
      <w:r>
        <w:rPr>
          <w:rFonts w:hint="eastAsia" w:ascii="方正仿宋简体" w:hAnsi="方正仿宋简体" w:eastAsia="方正仿宋简体" w:cs="方正仿宋简体"/>
          <w:color w:val="000000" w:themeColor="text1"/>
        </w:rPr>
        <w:t>》（以下简称报告表）已收悉，经研究，批复如下：</w:t>
      </w:r>
    </w:p>
    <w:p>
      <w:pPr>
        <w:pStyle w:val="12"/>
        <w:keepNext w:val="0"/>
        <w:keepLines w:val="0"/>
        <w:pageBreakBefore w:val="0"/>
        <w:kinsoku/>
        <w:wordWrap/>
        <w:overflowPunct/>
        <w:autoSpaceDE/>
        <w:autoSpaceDN/>
        <w:bidi w:val="0"/>
        <w:adjustRightInd/>
        <w:snapToGrid/>
        <w:spacing w:line="560" w:lineRule="exact"/>
        <w:ind w:firstLine="640" w:firstLineChars="200"/>
        <w:jc w:val="both"/>
        <w:textAlignment w:val="auto"/>
        <w:rPr>
          <w:rFonts w:ascii="方正仿宋简体" w:hAnsi="方正仿宋简体" w:eastAsia="方正仿宋简体" w:cs="方正仿宋简体"/>
          <w:color w:val="000000" w:themeColor="text1"/>
          <w:kern w:val="2"/>
          <w:lang w:bidi="en-US"/>
        </w:rPr>
      </w:pPr>
      <w:r>
        <w:rPr>
          <w:rFonts w:hint="eastAsia" w:ascii="方正仿宋简体" w:hAnsi="方正仿宋简体" w:eastAsia="方正仿宋简体" w:cs="方正仿宋简体"/>
          <w:color w:val="000000" w:themeColor="text1"/>
        </w:rPr>
        <w:t>一、该项目</w:t>
      </w:r>
      <w:r>
        <w:rPr>
          <w:rFonts w:ascii="方正仿宋简体" w:hAnsi="方正仿宋简体" w:eastAsia="方正仿宋简体" w:cs="方正仿宋简体"/>
          <w:color w:val="000000" w:themeColor="text1"/>
        </w:rPr>
        <w:t>位于</w:t>
      </w:r>
      <w:r>
        <w:rPr>
          <w:rFonts w:hint="eastAsia" w:ascii="方正仿宋简体" w:hAnsi="方正仿宋简体" w:eastAsia="方正仿宋简体" w:cs="方正仿宋简体"/>
          <w:color w:val="000000" w:themeColor="text1"/>
          <w:lang w:val="en-US" w:eastAsia="zh-CN"/>
        </w:rPr>
        <w:t>第十三师</w:t>
      </w:r>
      <w:r>
        <w:rPr>
          <w:rFonts w:ascii="方正仿宋简体" w:hAnsi="方正仿宋简体" w:eastAsia="方正仿宋简体" w:cs="方正仿宋简体"/>
          <w:color w:val="000000" w:themeColor="text1"/>
        </w:rPr>
        <w:t>柳树泉农场神泉产业集聚园区，租赁原哈密柳树泉天力建材有限公司100万吨水泥磨粉站工程的现有场地。</w:t>
      </w:r>
      <w:r>
        <w:rPr>
          <w:rFonts w:hint="eastAsia" w:ascii="方正仿宋简体" w:hAnsi="方正仿宋简体" w:eastAsia="方正仿宋简体" w:cs="方正仿宋简体"/>
          <w:color w:val="000000" w:themeColor="text1"/>
        </w:rPr>
        <w:t>厂区中心地理坐标为东经</w:t>
      </w:r>
      <w:r>
        <w:rPr>
          <w:rFonts w:ascii="方正仿宋简体" w:hAnsi="方正仿宋简体" w:eastAsia="方正仿宋简体" w:cs="方正仿宋简体"/>
          <w:color w:val="000000" w:themeColor="text1"/>
        </w:rPr>
        <w:t>92°48'40.58"</w:t>
      </w:r>
      <w:r>
        <w:rPr>
          <w:rFonts w:hint="eastAsia" w:ascii="方正仿宋简体" w:hAnsi="方正仿宋简体" w:eastAsia="方正仿宋简体" w:cs="方正仿宋简体"/>
          <w:color w:val="000000" w:themeColor="text1"/>
        </w:rPr>
        <w:t>，北纬</w:t>
      </w:r>
      <w:r>
        <w:rPr>
          <w:rFonts w:ascii="方正仿宋简体" w:hAnsi="方正仿宋简体" w:eastAsia="方正仿宋简体" w:cs="方正仿宋简体"/>
          <w:color w:val="000000" w:themeColor="text1"/>
        </w:rPr>
        <w:t>43°6'12.97"</w:t>
      </w:r>
      <w:r>
        <w:rPr>
          <w:rFonts w:hint="eastAsia" w:ascii="方正仿宋简体" w:hAnsi="方正仿宋简体" w:eastAsia="方正仿宋简体" w:cs="方正仿宋简体"/>
          <w:color w:val="000000" w:themeColor="text1"/>
        </w:rPr>
        <w:t>。</w:t>
      </w:r>
      <w:r>
        <w:rPr>
          <w:rFonts w:hint="eastAsia" w:ascii="方正仿宋简体" w:hAnsi="方正仿宋简体" w:eastAsia="方正仿宋简体" w:cs="方正仿宋简体"/>
          <w:color w:val="000000" w:themeColor="text1"/>
          <w:kern w:val="2"/>
          <w:lang w:bidi="en-US"/>
        </w:rPr>
        <w:t>项目总占地面积</w:t>
      </w:r>
      <w:r>
        <w:rPr>
          <w:rFonts w:ascii="方正仿宋简体" w:hAnsi="方正仿宋简体" w:eastAsia="方正仿宋简体" w:cs="方正仿宋简体"/>
          <w:color w:val="000000" w:themeColor="text1"/>
          <w:kern w:val="2"/>
          <w:lang w:bidi="en-US"/>
        </w:rPr>
        <w:t>66666.67</w:t>
      </w:r>
      <w:r>
        <w:rPr>
          <w:rFonts w:hint="eastAsia" w:ascii="方正仿宋简体" w:hAnsi="方正仿宋简体" w:eastAsia="方正仿宋简体" w:cs="方正仿宋简体"/>
          <w:color w:val="000000" w:themeColor="text1"/>
          <w:kern w:val="2"/>
          <w:lang w:bidi="en-US"/>
        </w:rPr>
        <w:t>平方米，</w:t>
      </w:r>
      <w:r>
        <w:rPr>
          <w:rFonts w:ascii="方正仿宋简体" w:hAnsi="方正仿宋简体" w:eastAsia="方正仿宋简体" w:cs="方正仿宋简体"/>
          <w:color w:val="000000" w:themeColor="text1"/>
          <w:kern w:val="2"/>
          <w:lang w:bidi="en-US"/>
        </w:rPr>
        <w:t>建设年产各型型煤30万吨生产线一条</w:t>
      </w:r>
      <w:r>
        <w:rPr>
          <w:rFonts w:hint="eastAsia" w:ascii="方正仿宋简体" w:hAnsi="方正仿宋简体" w:eastAsia="方正仿宋简体" w:cs="方正仿宋简体"/>
          <w:color w:val="000000" w:themeColor="text1"/>
          <w:kern w:val="2"/>
          <w:lang w:eastAsia="zh-CN" w:bidi="en-US"/>
        </w:rPr>
        <w:t>（</w:t>
      </w:r>
      <w:r>
        <w:rPr>
          <w:rFonts w:hint="eastAsia" w:ascii="仿宋_GB2312" w:hAnsi="仿宋" w:eastAsia="仿宋_GB2312"/>
        </w:rPr>
        <w:t>民用型煤15万吨/年，工业型煤10万吨/年，烧烤碳5万吨/年</w:t>
      </w:r>
      <w:r>
        <w:rPr>
          <w:rFonts w:hint="eastAsia" w:ascii="方正仿宋简体" w:hAnsi="方正仿宋简体" w:eastAsia="方正仿宋简体" w:cs="方正仿宋简体"/>
          <w:color w:val="000000" w:themeColor="text1"/>
          <w:kern w:val="2"/>
          <w:lang w:eastAsia="zh-CN" w:bidi="en-US"/>
        </w:rPr>
        <w:t>）</w:t>
      </w:r>
      <w:r>
        <w:rPr>
          <w:rFonts w:ascii="方正仿宋简体" w:hAnsi="方正仿宋简体" w:eastAsia="方正仿宋简体" w:cs="方正仿宋简体"/>
          <w:color w:val="000000" w:themeColor="text1"/>
          <w:kern w:val="2"/>
          <w:lang w:bidi="en-US"/>
        </w:rPr>
        <w:t>，年产5万吨膨润土生产线一条</w:t>
      </w:r>
      <w:r>
        <w:rPr>
          <w:rFonts w:hint="eastAsia" w:ascii="方正仿宋简体" w:hAnsi="方正仿宋简体" w:eastAsia="方正仿宋简体" w:cs="方正仿宋简体"/>
          <w:color w:val="000000" w:themeColor="text1"/>
          <w:kern w:val="2"/>
          <w:lang w:bidi="en-US"/>
        </w:rPr>
        <w:t>。项目总投资</w:t>
      </w:r>
      <w:r>
        <w:rPr>
          <w:rFonts w:ascii="方正仿宋简体" w:hAnsi="方正仿宋简体" w:eastAsia="方正仿宋简体" w:cs="方正仿宋简体"/>
          <w:color w:val="000000" w:themeColor="text1"/>
          <w:kern w:val="2"/>
          <w:lang w:bidi="en-US"/>
        </w:rPr>
        <w:t>4509.1</w:t>
      </w:r>
      <w:r>
        <w:rPr>
          <w:rFonts w:hint="eastAsia" w:ascii="方正仿宋简体" w:hAnsi="方正仿宋简体" w:eastAsia="方正仿宋简体" w:cs="方正仿宋简体"/>
          <w:color w:val="000000" w:themeColor="text1"/>
          <w:kern w:val="2"/>
          <w:lang w:bidi="en-US"/>
        </w:rPr>
        <w:t>万元，其中环保投资95万元，占总投资的2.11%。</w:t>
      </w:r>
    </w:p>
    <w:p>
      <w:pPr>
        <w:keepNext w:val="0"/>
        <w:keepLines w:val="0"/>
        <w:pageBreakBefore w:val="0"/>
        <w:kinsoku/>
        <w:wordWrap/>
        <w:overflowPunct/>
        <w:autoSpaceDE/>
        <w:autoSpaceDN/>
        <w:bidi w:val="0"/>
        <w:adjustRightInd/>
        <w:snapToGrid/>
        <w:spacing w:line="560" w:lineRule="exact"/>
        <w:ind w:firstLine="640" w:firstLineChars="200"/>
        <w:jc w:val="both"/>
        <w:textAlignment w:val="auto"/>
        <w:rPr>
          <w:rFonts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color w:val="000000" w:themeColor="text1"/>
          <w:sz w:val="32"/>
          <w:szCs w:val="32"/>
        </w:rPr>
        <w:t>二、该项目符合国家和地方相关法律法规和产业政策要求。在严格落实报告表提出的各项环境保护措施和本批复的前提下，项目建设和运营的不良环境影响可以得到减缓和控制，从环境保护角度，我局原则同意你公司按照《报告表》中所列建设项目的性质、规模、地点、采用的生产工艺及环境保护措施进行项目建设。</w:t>
      </w:r>
    </w:p>
    <w:p>
      <w:pPr>
        <w:keepNext w:val="0"/>
        <w:keepLines w:val="0"/>
        <w:pageBreakBefore w:val="0"/>
        <w:kinsoku/>
        <w:wordWrap/>
        <w:overflowPunct/>
        <w:autoSpaceDE/>
        <w:autoSpaceDN/>
        <w:bidi w:val="0"/>
        <w:adjustRightInd/>
        <w:snapToGrid/>
        <w:spacing w:line="560" w:lineRule="exact"/>
        <w:ind w:firstLine="640" w:firstLineChars="200"/>
        <w:jc w:val="both"/>
        <w:textAlignment w:val="auto"/>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三、项目建设和运行管理中应重点做好以下工作:</w:t>
      </w:r>
    </w:p>
    <w:p>
      <w:pPr>
        <w:keepNext w:val="0"/>
        <w:keepLines w:val="0"/>
        <w:pageBreakBefore w:val="0"/>
        <w:kinsoku/>
        <w:wordWrap/>
        <w:overflowPunct/>
        <w:autoSpaceDE/>
        <w:autoSpaceDN/>
        <w:bidi w:val="0"/>
        <w:adjustRightInd/>
        <w:snapToGrid/>
        <w:spacing w:line="560" w:lineRule="exact"/>
        <w:ind w:firstLine="640" w:firstLineChars="200"/>
        <w:jc w:val="both"/>
        <w:textAlignment w:val="auto"/>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（一）认真落实施工期环境保护措施。重点做好施工期的降噪、防尘措施及施工后的场地恢复工作，妥善处置施工固体废物、生活垃圾及生活污水。</w:t>
      </w:r>
    </w:p>
    <w:p>
      <w:pPr>
        <w:pStyle w:val="12"/>
        <w:keepNext w:val="0"/>
        <w:keepLines w:val="0"/>
        <w:pageBreakBefore w:val="0"/>
        <w:kinsoku/>
        <w:wordWrap/>
        <w:overflowPunct/>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000000" w:themeColor="text1"/>
          <w:lang w:eastAsia="zh-CN"/>
        </w:rPr>
      </w:pPr>
      <w:r>
        <w:rPr>
          <w:rFonts w:hint="eastAsia" w:ascii="方正仿宋简体" w:hAnsi="方正仿宋简体" w:eastAsia="方正仿宋简体" w:cs="方正仿宋简体"/>
          <w:color w:val="000000" w:themeColor="text1"/>
        </w:rPr>
        <w:t>（二）严格落实大气污染防治措施。1</w:t>
      </w:r>
      <w:r>
        <w:rPr>
          <w:rFonts w:hint="default" w:ascii="Times New Roman" w:hAnsi="Times New Roman" w:eastAsia="方正仿宋简体" w:cs="Times New Roman"/>
          <w:color w:val="000000" w:themeColor="text1"/>
        </w:rPr>
        <w:t>#、</w:t>
      </w:r>
      <w:r>
        <w:rPr>
          <w:rFonts w:hint="default" w:ascii="方正仿宋简体" w:hAnsi="方正仿宋简体" w:eastAsia="方正仿宋简体" w:cs="方正仿宋简体"/>
          <w:color w:val="000000" w:themeColor="text1"/>
        </w:rPr>
        <w:t>2</w:t>
      </w:r>
      <w:r>
        <w:rPr>
          <w:rFonts w:hint="default" w:ascii="Times New Roman" w:hAnsi="Times New Roman" w:eastAsia="方正仿宋简体" w:cs="Times New Roman"/>
          <w:color w:val="000000" w:themeColor="text1"/>
        </w:rPr>
        <w:t>#</w:t>
      </w:r>
      <w:r>
        <w:rPr>
          <w:rFonts w:hint="eastAsia" w:ascii="方正仿宋简体" w:hAnsi="方正仿宋简体" w:eastAsia="方正仿宋简体" w:cs="方正仿宋简体"/>
          <w:color w:val="000000" w:themeColor="text1"/>
        </w:rPr>
        <w:t>型煤车间生产线筛分、搅拌过程产生的粉尘分别经布袋除尘器处理后，由两根15米高排气筒排放，排气筒废气中颗粒物排放浓度</w:t>
      </w:r>
      <w:r>
        <w:rPr>
          <w:rFonts w:hint="eastAsia" w:ascii="方正仿宋简体" w:hAnsi="方正仿宋简体" w:eastAsia="方正仿宋简体" w:cs="方正仿宋简体"/>
          <w:color w:val="000000" w:themeColor="text1"/>
          <w:lang w:val="en-US" w:eastAsia="zh-CN"/>
        </w:rPr>
        <w:t>须</w:t>
      </w:r>
      <w:r>
        <w:rPr>
          <w:rFonts w:hint="eastAsia" w:ascii="方正仿宋简体" w:hAnsi="方正仿宋简体" w:eastAsia="方正仿宋简体" w:cs="方正仿宋简体"/>
          <w:color w:val="000000" w:themeColor="text1"/>
        </w:rPr>
        <w:t>满足《大气污染物综合排放标准》（GB16297-1996）表2新污染源大气污染物排放限值要求；</w:t>
      </w:r>
      <w:r>
        <w:rPr>
          <w:rFonts w:hint="eastAsia" w:ascii="方正仿宋简体" w:hAnsi="方正仿宋简体" w:eastAsia="方正仿宋简体" w:cs="方正仿宋简体"/>
          <w:color w:val="000000" w:themeColor="text1"/>
          <w:lang w:val="en-US" w:eastAsia="zh-CN"/>
        </w:rPr>
        <w:t>冬季型煤烘干采用电热风炉，夏、春、秋三季堆放至晾晒场晾晒干后包装入库。</w:t>
      </w:r>
      <w:r>
        <w:rPr>
          <w:rFonts w:hint="eastAsia" w:ascii="方正仿宋简体" w:hAnsi="方正仿宋简体" w:eastAsia="方正仿宋简体" w:cs="方正仿宋简体"/>
          <w:color w:val="000000" w:themeColor="text1"/>
        </w:rPr>
        <w:t>食堂油烟经油烟净化装置处理后由油烟专用烟道排放，食堂油烟排放浓度满足《饮食行业油烟排放标准》（GB18483-2001）的相关要求</w:t>
      </w:r>
      <w:r>
        <w:rPr>
          <w:rFonts w:hint="eastAsia" w:ascii="方正仿宋简体" w:hAnsi="方正仿宋简体" w:eastAsia="方正仿宋简体" w:cs="方正仿宋简体"/>
          <w:color w:val="000000" w:themeColor="text1"/>
          <w:lang w:eastAsia="zh-CN"/>
        </w:rPr>
        <w:t>。</w:t>
      </w:r>
    </w:p>
    <w:p>
      <w:pPr>
        <w:pStyle w:val="12"/>
        <w:keepNext w:val="0"/>
        <w:keepLines w:val="0"/>
        <w:pageBreakBefore w:val="0"/>
        <w:kinsoku/>
        <w:wordWrap/>
        <w:overflowPunct/>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000000" w:themeColor="text1"/>
        </w:rPr>
        <w:t>运输过程采用全封闭皮带运输，各转运点封闭并安装喷雾除尘设备；采用全封闭原料仓和产品仓；原料运输车辆加盖篷布</w:t>
      </w:r>
      <w:r>
        <w:rPr>
          <w:rFonts w:hint="eastAsia" w:ascii="方正仿宋简体" w:hAnsi="方正仿宋简体" w:eastAsia="方正仿宋简体" w:cs="方正仿宋简体"/>
          <w:color w:val="000000" w:themeColor="text1"/>
          <w:lang w:eastAsia="zh-CN"/>
        </w:rPr>
        <w:t>。</w:t>
      </w:r>
      <w:r>
        <w:rPr>
          <w:rFonts w:hint="eastAsia" w:ascii="方正仿宋简体" w:hAnsi="方正仿宋简体" w:eastAsia="方正仿宋简体" w:cs="方正仿宋简体"/>
          <w:color w:val="000000" w:themeColor="text1"/>
        </w:rPr>
        <w:t>采取上述措施后，厂界无组织粉尘排放浓度</w:t>
      </w:r>
      <w:r>
        <w:rPr>
          <w:rFonts w:hint="eastAsia" w:ascii="方正仿宋简体" w:hAnsi="方正仿宋简体" w:eastAsia="方正仿宋简体" w:cs="方正仿宋简体"/>
          <w:color w:val="000000" w:themeColor="text1"/>
          <w:lang w:val="en-US" w:eastAsia="zh-CN"/>
        </w:rPr>
        <w:t>须</w:t>
      </w:r>
      <w:r>
        <w:rPr>
          <w:rFonts w:hint="eastAsia" w:ascii="方正仿宋简体" w:hAnsi="方正仿宋简体" w:eastAsia="方正仿宋简体" w:cs="方正仿宋简体"/>
          <w:color w:val="000000" w:themeColor="text1"/>
        </w:rPr>
        <w:t>满足《大气污染物综合排放标准》（GB16297-1996）表2中新污染源颗粒物无组织排放监控浓度限值。</w:t>
      </w:r>
    </w:p>
    <w:p>
      <w:pPr>
        <w:pStyle w:val="12"/>
        <w:keepNext w:val="0"/>
        <w:keepLines w:val="0"/>
        <w:pageBreakBefore w:val="0"/>
        <w:kinsoku/>
        <w:wordWrap/>
        <w:overflowPunct/>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000000" w:themeColor="text1"/>
        </w:rPr>
        <w:t>（三）严格落实水污染防治措施。项目生产工序用水不排水，搅拌过程用水在烘干过程蒸发90%以上，剩余部分带入产品；食堂废水经隔油池净化后与生活污水一同依托现有生活办公区内化粪池处理后定期清掏外运，处理后水质满足《污水综合排放标准》（GB8978-1996）中三级标准要求。</w:t>
      </w:r>
      <w:r>
        <w:rPr>
          <w:rFonts w:hint="eastAsia" w:ascii="方正仿宋简体" w:hAnsi="方正仿宋简体" w:eastAsia="方正仿宋简体" w:cs="方正仿宋简体"/>
          <w:color w:val="000000" w:themeColor="text1"/>
          <w:kern w:val="2"/>
        </w:rPr>
        <w:t>严格按照《环境影响评价技术导则 地下水环境》（HJ610-2016）要求，做好分区防渗，厂区重点防渗区（</w:t>
      </w:r>
      <w:r>
        <w:rPr>
          <w:rFonts w:hint="eastAsia" w:ascii="仿宋_GB2312" w:hAnsi="仿宋" w:eastAsia="仿宋_GB2312"/>
          <w:color w:val="000000"/>
        </w:rPr>
        <w:t>原料库、成品库</w:t>
      </w:r>
      <w:r>
        <w:rPr>
          <w:rFonts w:hint="eastAsia" w:ascii="仿宋_GB2312" w:hAnsi="仿宋" w:eastAsia="仿宋_GB2312"/>
          <w:color w:val="000000"/>
          <w:lang w:eastAsia="zh-CN"/>
        </w:rPr>
        <w:t>、</w:t>
      </w:r>
      <w:r>
        <w:rPr>
          <w:rFonts w:hint="eastAsia" w:ascii="方正仿宋简体" w:hAnsi="方正仿宋简体" w:eastAsia="方正仿宋简体" w:cs="方正仿宋简体"/>
          <w:color w:val="000000" w:themeColor="text1"/>
        </w:rPr>
        <w:t>事故水池</w:t>
      </w:r>
      <w:r>
        <w:rPr>
          <w:rFonts w:hint="eastAsia" w:ascii="方正仿宋简体" w:hAnsi="方正仿宋简体" w:eastAsia="方正仿宋简体" w:cs="方正仿宋简体"/>
          <w:color w:val="000000" w:themeColor="text1"/>
          <w:kern w:val="2"/>
        </w:rPr>
        <w:t>）、一般防渗区（生产车间）、简单防渗区（办</w:t>
      </w:r>
      <w:r>
        <w:rPr>
          <w:rFonts w:hint="eastAsia" w:ascii="方正仿宋简体" w:hAnsi="方正仿宋简体" w:eastAsia="方正仿宋简体" w:cs="方正仿宋简体"/>
          <w:color w:val="000000" w:themeColor="text1"/>
        </w:rPr>
        <w:t>公生活区等</w:t>
      </w:r>
      <w:r>
        <w:rPr>
          <w:rFonts w:hint="eastAsia" w:ascii="方正仿宋简体" w:hAnsi="方正仿宋简体" w:eastAsia="方正仿宋简体" w:cs="方正仿宋简体"/>
          <w:color w:val="000000" w:themeColor="text1"/>
          <w:kern w:val="2"/>
        </w:rPr>
        <w:t>）均须按设计采取相应防渗措施，避免污染地下水。在项目区中部设置应急事故池，用于事故状态下废水的收集。</w:t>
      </w:r>
    </w:p>
    <w:p>
      <w:pPr>
        <w:pStyle w:val="12"/>
        <w:keepNext w:val="0"/>
        <w:keepLines w:val="0"/>
        <w:pageBreakBefore w:val="0"/>
        <w:kinsoku/>
        <w:wordWrap/>
        <w:overflowPunct/>
        <w:autoSpaceDE/>
        <w:autoSpaceDN/>
        <w:bidi w:val="0"/>
        <w:adjustRightInd/>
        <w:snapToGrid/>
        <w:spacing w:line="560" w:lineRule="exact"/>
        <w:ind w:firstLine="640" w:firstLineChars="200"/>
        <w:jc w:val="both"/>
        <w:textAlignment w:val="auto"/>
      </w:pPr>
      <w:r>
        <w:rPr>
          <w:rFonts w:hint="eastAsia" w:ascii="方正仿宋简体" w:hAnsi="方正仿宋简体" w:eastAsia="方正仿宋简体" w:cs="方正仿宋简体"/>
          <w:color w:val="000000" w:themeColor="text1"/>
        </w:rPr>
        <w:t>（四</w:t>
      </w:r>
      <w:r>
        <w:rPr>
          <w:rFonts w:hint="eastAsia" w:ascii="方正仿宋简体" w:hAnsi="方正仿宋简体" w:eastAsia="方正仿宋简体" w:cs="方正仿宋简体"/>
          <w:color w:val="000000" w:themeColor="text1"/>
          <w:kern w:val="2"/>
        </w:rPr>
        <w:t>）加强噪声污染控制。</w:t>
      </w:r>
      <w:r>
        <w:rPr>
          <w:rFonts w:ascii="方正仿宋简体" w:hAnsi="方正仿宋简体" w:eastAsia="方正仿宋简体" w:cs="方正仿宋简体"/>
          <w:color w:val="000000" w:themeColor="text1"/>
          <w:kern w:val="2"/>
        </w:rPr>
        <w:t>选择低噪声设备，定期对设备进行检查、维修；生产车间增设隔声门窗，墙体增加隔声、吸声材料；对产生震动设备增设基础减震措施；加强厂区绿化；运输车辆限制车速，采取以上降噪措施后，厂界噪声满足《工业企业厂界环境噪声排放标准》（GB12348-2008）中3类标准要求。</w:t>
      </w:r>
    </w:p>
    <w:p>
      <w:pPr>
        <w:pStyle w:val="12"/>
        <w:keepNext w:val="0"/>
        <w:keepLines w:val="0"/>
        <w:pageBreakBefore w:val="0"/>
        <w:kinsoku/>
        <w:wordWrap/>
        <w:overflowPunct/>
        <w:autoSpaceDE/>
        <w:autoSpaceDN/>
        <w:bidi w:val="0"/>
        <w:adjustRightInd/>
        <w:snapToGrid/>
        <w:spacing w:line="560" w:lineRule="exact"/>
        <w:ind w:firstLine="640" w:firstLineChars="200"/>
        <w:jc w:val="both"/>
        <w:textAlignment w:val="auto"/>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000000" w:themeColor="text1"/>
        </w:rPr>
        <w:t>（五）加强固体废物的分类管理和利用。</w:t>
      </w:r>
      <w:r>
        <w:rPr>
          <w:rFonts w:ascii="方正仿宋简体" w:hAnsi="方正仿宋简体" w:eastAsia="方正仿宋简体" w:cs="方正仿宋简体"/>
          <w:color w:val="000000" w:themeColor="text1"/>
        </w:rPr>
        <w:t>除尘器收集的粉尘作为原料回用于生产；筛分出的杂质定期送至园区指定的一般固体废物填埋场卫生填埋</w:t>
      </w:r>
      <w:r>
        <w:rPr>
          <w:rFonts w:hint="eastAsia" w:ascii="方正仿宋简体" w:hAnsi="方正仿宋简体" w:eastAsia="方正仿宋简体" w:cs="方正仿宋简体"/>
          <w:color w:val="000000" w:themeColor="text1"/>
        </w:rPr>
        <w:t>；</w:t>
      </w:r>
      <w:r>
        <w:rPr>
          <w:rFonts w:ascii="方正仿宋简体" w:hAnsi="方正仿宋简体" w:eastAsia="方正仿宋简体" w:cs="方正仿宋简体"/>
          <w:color w:val="000000" w:themeColor="text1"/>
        </w:rPr>
        <w:t>生活垃圾由园区环卫部门拉运至</w:t>
      </w:r>
      <w:r>
        <w:rPr>
          <w:rFonts w:hint="eastAsia" w:ascii="方正仿宋简体" w:hAnsi="方正仿宋简体" w:eastAsia="方正仿宋简体" w:cs="方正仿宋简体"/>
          <w:color w:val="000000" w:themeColor="text1"/>
        </w:rPr>
        <w:t>指定的生活垃圾填埋场</w:t>
      </w:r>
      <w:r>
        <w:rPr>
          <w:rFonts w:ascii="方正仿宋简体" w:hAnsi="方正仿宋简体" w:eastAsia="方正仿宋简体" w:cs="方正仿宋简体"/>
          <w:color w:val="000000" w:themeColor="text1"/>
        </w:rPr>
        <w:t>。</w:t>
      </w:r>
    </w:p>
    <w:p>
      <w:pPr>
        <w:pStyle w:val="12"/>
        <w:keepNext w:val="0"/>
        <w:keepLines w:val="0"/>
        <w:pageBreakBefore w:val="0"/>
        <w:kinsoku/>
        <w:wordWrap/>
        <w:overflowPunct/>
        <w:autoSpaceDE/>
        <w:autoSpaceDN/>
        <w:bidi w:val="0"/>
        <w:adjustRightInd/>
        <w:snapToGrid/>
        <w:spacing w:line="560" w:lineRule="exact"/>
        <w:ind w:firstLine="640" w:firstLineChars="200"/>
        <w:jc w:val="both"/>
        <w:textAlignment w:val="auto"/>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sz w:val="32"/>
          <w:szCs w:val="32"/>
          <w:lang w:val="en-US" w:eastAsia="zh-CN"/>
        </w:rPr>
        <w:t>厂区内规范设置危险废物暂存间。废润滑油属于危险废物，收集后暂存在危险废物暂存间内，定期交由具有相应危险废物处置资质的机构安全处置。危险废物收集、贮存、运输须满足《</w:t>
      </w:r>
      <w:r>
        <w:rPr>
          <w:rFonts w:hint="eastAsia" w:ascii="方正仿宋简体" w:hAnsi="方正仿宋简体" w:eastAsia="方正仿宋简体" w:cs="方正仿宋简体"/>
          <w:sz w:val="32"/>
          <w:szCs w:val="32"/>
          <w:lang w:eastAsia="zh-CN"/>
        </w:rPr>
        <w:t>危险废物贮存污染控制标准》（</w:t>
      </w:r>
      <w:r>
        <w:rPr>
          <w:rFonts w:hint="eastAsia" w:ascii="方正仿宋简体" w:hAnsi="方正仿宋简体" w:eastAsia="方正仿宋简体" w:cs="方正仿宋简体"/>
          <w:sz w:val="32"/>
          <w:szCs w:val="32"/>
          <w:lang w:val="en-US" w:eastAsia="zh-CN"/>
        </w:rPr>
        <w:t>GB18597-2001</w:t>
      </w:r>
      <w:r>
        <w:rPr>
          <w:rFonts w:hint="eastAsia" w:ascii="方正仿宋简体" w:hAnsi="方正仿宋简体" w:eastAsia="方正仿宋简体" w:cs="方正仿宋简体"/>
          <w:sz w:val="32"/>
          <w:szCs w:val="32"/>
          <w:lang w:eastAsia="zh-CN"/>
        </w:rPr>
        <w:t>）及其修改单要求、《危险废物收集、贮存、运输技术规范》（</w:t>
      </w:r>
      <w:r>
        <w:rPr>
          <w:rFonts w:hint="eastAsia" w:ascii="方正仿宋简体" w:hAnsi="方正仿宋简体" w:eastAsia="方正仿宋简体" w:cs="方正仿宋简体"/>
          <w:sz w:val="32"/>
          <w:szCs w:val="32"/>
          <w:lang w:val="en-US" w:eastAsia="zh-CN"/>
        </w:rPr>
        <w:t>HJ2025-2012</w:t>
      </w:r>
      <w:r>
        <w:rPr>
          <w:rFonts w:hint="eastAsia" w:ascii="方正仿宋简体" w:hAnsi="方正仿宋简体" w:eastAsia="方正仿宋简体" w:cs="方正仿宋简体"/>
          <w:sz w:val="32"/>
          <w:szCs w:val="32"/>
          <w:lang w:eastAsia="zh-CN"/>
        </w:rPr>
        <w:t>）及《危险废物转移联单管理办法》</w:t>
      </w:r>
      <w:r>
        <w:rPr>
          <w:rFonts w:hint="eastAsia" w:ascii="方正仿宋简体" w:hAnsi="方正仿宋简体" w:eastAsia="方正仿宋简体" w:cs="方正仿宋简体"/>
          <w:sz w:val="32"/>
          <w:szCs w:val="32"/>
        </w:rPr>
        <w:t>。</w:t>
      </w:r>
    </w:p>
    <w:p>
      <w:pPr>
        <w:keepNext w:val="0"/>
        <w:keepLines w:val="0"/>
        <w:pageBreakBefore w:val="0"/>
        <w:kinsoku/>
        <w:wordWrap/>
        <w:overflowPunct/>
        <w:topLinePunct/>
        <w:autoSpaceDE/>
        <w:autoSpaceDN/>
        <w:bidi w:val="0"/>
        <w:adjustRightInd/>
        <w:snapToGrid/>
        <w:spacing w:line="560" w:lineRule="exact"/>
        <w:ind w:firstLine="800" w:firstLineChars="250"/>
        <w:jc w:val="both"/>
        <w:textAlignment w:val="auto"/>
        <w:outlineLvl w:val="2"/>
        <w:rPr>
          <w:rFonts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color w:val="000000" w:themeColor="text1"/>
          <w:sz w:val="32"/>
          <w:szCs w:val="32"/>
        </w:rPr>
        <w:t>（六）加强环境风险防范工作，制定环境突发事故应急预案，确保预案的可操作性和有效性。生产车间要建立防止火灾等事故发生的应急处理系统、应急救援设施及救援通道、应急疏散通道。加强对设备的维护，避免污染事故和非正常排放的发生。落实各项应急环境管理措施以及各项风险防范措施，确保风险事故得到有效控制。按照《突发环境事件应急预案管理暂行办法》（环发〔2010〕113号）要求，制定突发环境事件应急预案，确保预案的可操作性和有效性，报十三师生态环境局备案。</w:t>
      </w:r>
    </w:p>
    <w:p>
      <w:pPr>
        <w:keepNext w:val="0"/>
        <w:keepLines w:val="0"/>
        <w:pageBreakBefore w:val="0"/>
        <w:kinsoku/>
        <w:wordWrap/>
        <w:overflowPunct/>
        <w:autoSpaceDE/>
        <w:autoSpaceDN/>
        <w:bidi w:val="0"/>
        <w:adjustRightInd/>
        <w:snapToGrid/>
        <w:spacing w:line="560" w:lineRule="exact"/>
        <w:ind w:firstLine="640" w:firstLineChars="200"/>
        <w:jc w:val="both"/>
        <w:textAlignment w:val="auto"/>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四、项目建设必须严格执行</w:t>
      </w:r>
      <w:r>
        <w:rPr>
          <w:rFonts w:hint="eastAsia" w:ascii="方正仿宋简体" w:hAnsi="方正仿宋简体" w:eastAsia="方正仿宋简体" w:cs="方正仿宋简体"/>
          <w:color w:val="000000" w:themeColor="text1"/>
          <w:sz w:val="32"/>
          <w:szCs w:val="32"/>
          <w:lang w:val="en-US" w:eastAsia="zh-CN"/>
        </w:rPr>
        <w:t>配套的环境保护设施与主体工程</w:t>
      </w:r>
      <w:r>
        <w:rPr>
          <w:rFonts w:hint="eastAsia" w:ascii="方正仿宋简体" w:hAnsi="方正仿宋简体" w:eastAsia="方正仿宋简体" w:cs="方正仿宋简体"/>
          <w:color w:val="000000" w:themeColor="text1"/>
          <w:sz w:val="32"/>
          <w:szCs w:val="32"/>
        </w:rPr>
        <w:t>同时设计、同时施工、同时投产</w:t>
      </w:r>
      <w:r>
        <w:rPr>
          <w:rFonts w:hint="eastAsia" w:ascii="方正仿宋简体" w:hAnsi="方正仿宋简体" w:eastAsia="方正仿宋简体" w:cs="方正仿宋简体"/>
          <w:color w:val="000000" w:themeColor="text1"/>
          <w:sz w:val="32"/>
          <w:szCs w:val="32"/>
          <w:lang w:val="en-US" w:eastAsia="zh-CN"/>
        </w:rPr>
        <w:t>使用</w:t>
      </w:r>
      <w:r>
        <w:rPr>
          <w:rFonts w:hint="eastAsia" w:ascii="方正仿宋简体" w:hAnsi="方正仿宋简体" w:eastAsia="方正仿宋简体" w:cs="方正仿宋简体"/>
          <w:color w:val="000000" w:themeColor="text1"/>
          <w:sz w:val="32"/>
          <w:szCs w:val="32"/>
        </w:rPr>
        <w:t>的环境保护“三同时”制度。</w:t>
      </w:r>
      <w:r>
        <w:rPr>
          <w:rFonts w:hint="eastAsia" w:ascii="方正仿宋简体" w:hAnsi="方正仿宋简体" w:eastAsia="方正仿宋简体" w:cs="方正仿宋简体"/>
          <w:color w:val="000000" w:themeColor="text1"/>
          <w:sz w:val="32"/>
          <w:szCs w:val="32"/>
          <w:lang w:val="en-US" w:eastAsia="zh-CN"/>
        </w:rPr>
        <w:t>施工招标文件和施工合同招标文件中应明确环保条款和责任，项目竣工后，须按规定程序实施</w:t>
      </w:r>
      <w:r>
        <w:rPr>
          <w:rFonts w:hint="eastAsia" w:ascii="方正仿宋简体" w:hAnsi="方正仿宋简体" w:eastAsia="方正仿宋简体" w:cs="方正仿宋简体"/>
          <w:color w:val="000000" w:themeColor="text1"/>
          <w:sz w:val="32"/>
          <w:szCs w:val="32"/>
        </w:rPr>
        <w:t>竣工环境保护验收。</w:t>
      </w:r>
    </w:p>
    <w:p>
      <w:pPr>
        <w:pStyle w:val="7"/>
        <w:keepNext w:val="0"/>
        <w:keepLines w:val="0"/>
        <w:pageBreakBefore w:val="0"/>
        <w:kinsoku/>
        <w:wordWrap/>
        <w:overflowPunct/>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themeColor="text1"/>
          <w:sz w:val="32"/>
          <w:szCs w:val="32"/>
          <w:lang w:val="en-US" w:eastAsia="zh-CN"/>
        </w:rPr>
      </w:pPr>
      <w:r>
        <w:rPr>
          <w:rFonts w:hint="eastAsia" w:ascii="方正仿宋简体" w:hAnsi="方正仿宋简体" w:eastAsia="方正仿宋简体" w:cs="方正仿宋简体"/>
          <w:color w:val="000000" w:themeColor="text1"/>
          <w:sz w:val="32"/>
          <w:szCs w:val="32"/>
          <w:lang w:val="en-US" w:eastAsia="zh-CN"/>
        </w:rPr>
        <w:t>环境影响报告表经批准后</w:t>
      </w:r>
      <w:r>
        <w:rPr>
          <w:rFonts w:hint="eastAsia" w:ascii="方正仿宋简体" w:hAnsi="方正仿宋简体" w:eastAsia="方正仿宋简体" w:cs="方正仿宋简体"/>
          <w:color w:val="000000" w:themeColor="text1"/>
          <w:sz w:val="32"/>
          <w:szCs w:val="32"/>
        </w:rPr>
        <w:t>，</w:t>
      </w:r>
      <w:r>
        <w:rPr>
          <w:rFonts w:hint="eastAsia" w:ascii="方正仿宋简体" w:hAnsi="方正仿宋简体" w:eastAsia="方正仿宋简体" w:cs="方正仿宋简体"/>
          <w:color w:val="000000" w:themeColor="text1"/>
          <w:sz w:val="32"/>
          <w:szCs w:val="32"/>
          <w:lang w:val="en-US" w:eastAsia="zh-CN"/>
        </w:rPr>
        <w:t>该项目的</w:t>
      </w:r>
      <w:r>
        <w:rPr>
          <w:rFonts w:hint="eastAsia" w:ascii="方正仿宋简体" w:hAnsi="方正仿宋简体" w:eastAsia="方正仿宋简体" w:cs="方正仿宋简体"/>
          <w:color w:val="000000" w:themeColor="text1"/>
          <w:sz w:val="32"/>
          <w:szCs w:val="32"/>
        </w:rPr>
        <w:t>性质、规模、地点、</w:t>
      </w:r>
      <w:r>
        <w:rPr>
          <w:rFonts w:hint="eastAsia" w:ascii="方正仿宋简体" w:hAnsi="方正仿宋简体" w:eastAsia="方正仿宋简体" w:cs="方正仿宋简体"/>
          <w:color w:val="000000" w:themeColor="text1"/>
          <w:sz w:val="32"/>
          <w:szCs w:val="32"/>
          <w:lang w:val="en-US" w:eastAsia="zh-CN"/>
        </w:rPr>
        <w:t>生产工艺和环境保护措施</w:t>
      </w:r>
      <w:r>
        <w:rPr>
          <w:rFonts w:hint="eastAsia" w:ascii="方正仿宋简体" w:hAnsi="方正仿宋简体" w:eastAsia="方正仿宋简体" w:cs="方正仿宋简体"/>
          <w:color w:val="000000" w:themeColor="text1"/>
          <w:sz w:val="32"/>
          <w:szCs w:val="32"/>
        </w:rPr>
        <w:t>发生重大</w:t>
      </w:r>
      <w:r>
        <w:rPr>
          <w:rFonts w:hint="eastAsia" w:ascii="方正仿宋简体" w:hAnsi="方正仿宋简体" w:eastAsia="方正仿宋简体" w:cs="方正仿宋简体"/>
          <w:color w:val="000000" w:themeColor="text1"/>
          <w:sz w:val="32"/>
          <w:szCs w:val="32"/>
          <w:lang w:val="en-US" w:eastAsia="zh-CN"/>
        </w:rPr>
        <w:t>变动</w:t>
      </w:r>
      <w:r>
        <w:rPr>
          <w:rFonts w:hint="eastAsia" w:ascii="方正仿宋简体" w:hAnsi="方正仿宋简体" w:eastAsia="方正仿宋简体" w:cs="方正仿宋简体"/>
          <w:color w:val="000000" w:themeColor="text1"/>
          <w:sz w:val="32"/>
          <w:szCs w:val="32"/>
        </w:rPr>
        <w:t>，</w:t>
      </w:r>
      <w:r>
        <w:rPr>
          <w:rFonts w:hint="eastAsia" w:ascii="方正仿宋简体" w:hAnsi="方正仿宋简体" w:eastAsia="方正仿宋简体" w:cs="方正仿宋简体"/>
          <w:color w:val="000000" w:themeColor="text1"/>
          <w:sz w:val="32"/>
          <w:szCs w:val="32"/>
          <w:lang w:val="en-US" w:eastAsia="zh-CN"/>
        </w:rPr>
        <w:t>且可能导致环境影响显著变化（特别是不利环境影响加重）的，</w:t>
      </w:r>
      <w:r>
        <w:rPr>
          <w:rFonts w:hint="eastAsia" w:ascii="方正仿宋简体" w:hAnsi="方正仿宋简体" w:eastAsia="方正仿宋简体" w:cs="方正仿宋简体"/>
          <w:color w:val="000000" w:themeColor="text1"/>
          <w:sz w:val="32"/>
          <w:szCs w:val="32"/>
        </w:rPr>
        <w:t>应</w:t>
      </w:r>
      <w:r>
        <w:rPr>
          <w:rFonts w:hint="eastAsia" w:ascii="方正仿宋简体" w:hAnsi="方正仿宋简体" w:eastAsia="方正仿宋简体" w:cs="方正仿宋简体"/>
          <w:color w:val="000000" w:themeColor="text1"/>
          <w:sz w:val="32"/>
          <w:szCs w:val="32"/>
          <w:lang w:val="en-US" w:eastAsia="zh-CN"/>
        </w:rPr>
        <w:t>当重新报批该项目环境影响报告表。</w:t>
      </w:r>
    </w:p>
    <w:p>
      <w:pPr>
        <w:pStyle w:val="7"/>
        <w:keepNext w:val="0"/>
        <w:keepLines w:val="0"/>
        <w:pageBreakBefore w:val="0"/>
        <w:kinsoku/>
        <w:wordWrap/>
        <w:overflowPunct/>
        <w:autoSpaceDE/>
        <w:autoSpaceDN/>
        <w:bidi w:val="0"/>
        <w:adjustRightInd/>
        <w:snapToGrid/>
        <w:spacing w:before="0" w:beforeAutospacing="0" w:after="0" w:afterAutospacing="0" w:line="560" w:lineRule="exact"/>
        <w:ind w:firstLine="640" w:firstLineChars="200"/>
        <w:jc w:val="both"/>
        <w:textAlignment w:val="auto"/>
        <w:rPr>
          <w:rFonts w:hint="default" w:ascii="方正仿宋简体" w:hAnsi="方正仿宋简体" w:eastAsia="方正仿宋简体" w:cs="方正仿宋简体"/>
          <w:color w:val="000000" w:themeColor="text1"/>
          <w:sz w:val="32"/>
          <w:szCs w:val="32"/>
          <w:lang w:val="en-US" w:eastAsia="zh-CN"/>
        </w:rPr>
      </w:pPr>
      <w:r>
        <w:rPr>
          <w:rFonts w:hint="eastAsia" w:ascii="方正仿宋简体" w:hAnsi="方正仿宋简体" w:eastAsia="方正仿宋简体" w:cs="方正仿宋简体"/>
          <w:color w:val="000000" w:themeColor="text1"/>
          <w:sz w:val="32"/>
          <w:szCs w:val="32"/>
          <w:lang w:val="en-US" w:eastAsia="zh-CN"/>
        </w:rPr>
        <w:t>五、在启动生产设施或者在实际排污之前，按照经批准的环境影响评价文件认真梳理并确认各项环境保护措施落实后，依法申领排污许可证。</w:t>
      </w:r>
    </w:p>
    <w:p>
      <w:pPr>
        <w:keepNext w:val="0"/>
        <w:keepLines w:val="0"/>
        <w:pageBreakBefore w:val="0"/>
        <w:kinsoku/>
        <w:wordWrap/>
        <w:overflowPunct/>
        <w:autoSpaceDE/>
        <w:autoSpaceDN/>
        <w:bidi w:val="0"/>
        <w:adjustRightInd/>
        <w:snapToGrid/>
        <w:spacing w:line="560" w:lineRule="exact"/>
        <w:ind w:firstLine="640" w:firstLineChars="200"/>
        <w:jc w:val="both"/>
        <w:textAlignment w:val="auto"/>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六、我局委托十三师生态环境保护综合行政执法支队组织开展该项目的“三同时”监督检查和日常监督管理工作。</w:t>
      </w:r>
    </w:p>
    <w:p>
      <w:pPr>
        <w:spacing w:line="560" w:lineRule="exact"/>
        <w:ind w:firstLine="640" w:firstLineChars="200"/>
        <w:jc w:val="left"/>
        <w:rPr>
          <w:rFonts w:ascii="方正仿宋简体" w:hAnsi="方正仿宋简体" w:eastAsia="方正仿宋简体" w:cs="方正仿宋简体"/>
          <w:color w:val="FF0000"/>
          <w:sz w:val="32"/>
          <w:szCs w:val="32"/>
        </w:rPr>
      </w:pPr>
    </w:p>
    <w:p>
      <w:pPr>
        <w:pStyle w:val="2"/>
        <w:rPr>
          <w:rFonts w:ascii="方正仿宋简体" w:hAnsi="方正仿宋简体" w:eastAsia="方正仿宋简体" w:cs="方正仿宋简体"/>
          <w:color w:val="FF0000"/>
          <w:sz w:val="32"/>
          <w:szCs w:val="32"/>
        </w:rPr>
      </w:pPr>
    </w:p>
    <w:p>
      <w:pPr>
        <w:pStyle w:val="2"/>
        <w:rPr>
          <w:rFonts w:ascii="方正仿宋简体" w:hAnsi="方正仿宋简体" w:eastAsia="方正仿宋简体" w:cs="方正仿宋简体"/>
          <w:color w:val="FF0000"/>
          <w:sz w:val="32"/>
          <w:szCs w:val="32"/>
        </w:rPr>
      </w:pPr>
    </w:p>
    <w:p>
      <w:pPr>
        <w:wordWrap w:val="0"/>
        <w:spacing w:line="560" w:lineRule="exact"/>
        <w:ind w:firstLine="640" w:firstLineChars="200"/>
        <w:jc w:val="right"/>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十三师生态环境局       </w:t>
      </w:r>
    </w:p>
    <w:p>
      <w:pPr>
        <w:wordWrap w:val="0"/>
        <w:spacing w:line="560" w:lineRule="exact"/>
        <w:ind w:firstLine="640" w:firstLineChars="200"/>
        <w:jc w:val="right"/>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 2020年10月1</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 xml:space="preserve">日       </w:t>
      </w:r>
    </w:p>
    <w:p>
      <w:pPr>
        <w:wordWrap w:val="0"/>
        <w:spacing w:line="560" w:lineRule="exact"/>
        <w:ind w:firstLine="640" w:firstLineChars="200"/>
        <w:jc w:val="right"/>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p>
    <w:p>
      <w:pPr>
        <w:pStyle w:val="2"/>
        <w:wordWrap/>
        <w:rPr>
          <w:rFonts w:ascii="方正仿宋简体" w:hAnsi="方正仿宋简体" w:eastAsia="方正仿宋简体" w:cs="方正仿宋简体"/>
          <w:color w:val="auto"/>
          <w:sz w:val="32"/>
          <w:szCs w:val="32"/>
        </w:rPr>
      </w:pPr>
      <w:bookmarkStart w:id="0" w:name="_GoBack"/>
      <w:bookmarkEnd w:id="0"/>
    </w:p>
    <w:p>
      <w:pPr>
        <w:pStyle w:val="2"/>
        <w:wordWrap/>
        <w:rPr>
          <w:rFonts w:ascii="方正仿宋简体" w:hAnsi="方正仿宋简体" w:eastAsia="方正仿宋简体" w:cs="方正仿宋简体"/>
          <w:color w:val="auto"/>
          <w:sz w:val="32"/>
          <w:szCs w:val="32"/>
        </w:rPr>
      </w:pPr>
    </w:p>
    <w:p>
      <w:pPr>
        <w:pStyle w:val="2"/>
        <w:rPr>
          <w:rFonts w:ascii="方正仿宋简体" w:hAnsi="方正仿宋简体" w:eastAsia="方正仿宋简体" w:cs="方正仿宋简体"/>
          <w:color w:val="auto"/>
          <w:sz w:val="32"/>
          <w:szCs w:val="32"/>
        </w:rPr>
      </w:pPr>
    </w:p>
    <w:p>
      <w:pPr>
        <w:spacing w:line="520" w:lineRule="exact"/>
        <w:rPr>
          <w:rFonts w:eastAsia="方正仿宋简体"/>
          <w:color w:val="auto"/>
        </w:rPr>
      </w:pPr>
      <w:r>
        <w:rPr>
          <w:rFonts w:ascii="方正仿宋简体" w:hAnsi="方正仿宋简体" w:eastAsia="方正仿宋简体" w:cs="方正仿宋简体"/>
          <w:color w:val="auto"/>
          <w:sz w:val="32"/>
          <w:szCs w:val="32"/>
        </w:rPr>
        <w:pict>
          <v:line id="_x0000_s1026" o:spid="_x0000_s1026" o:spt="20" style="position:absolute;left:0pt;margin-left:-5.3pt;margin-top:31.4pt;height:0pt;width:450pt;z-index:251657216;mso-width-relative:page;mso-height-relative:page;" coordsize="21600,21600" o:gfxdata="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BC3/dYAAAAJAQAADwAA&#10;AAAAAAABACAAAAAiAAAAZHJzL2Rvd25yZXYueG1sUEsBAhQAFAAAAAgAh07iQN+oExLfAQAApAMA&#10;AA4AAAAAAAAAAQAgAAAAJQEAAGRycy9lMm9Eb2MueG1sUEsFBgAAAAAGAAYAWQEAAHYFAAAAAA==&#10;">
            <v:path arrowok="t"/>
            <v:fill focussize="0,0"/>
            <v:stroke/>
            <v:imagedata o:title=""/>
            <o:lock v:ext="edit"/>
          </v:line>
        </w:pict>
      </w:r>
      <w:r>
        <w:rPr>
          <w:rFonts w:ascii="方正仿宋简体" w:hAnsi="方正仿宋简体" w:eastAsia="方正仿宋简体" w:cs="方正仿宋简体"/>
          <w:b/>
          <w:color w:val="auto"/>
          <w:kern w:val="0"/>
          <w:sz w:val="32"/>
          <w:szCs w:val="32"/>
        </w:rPr>
        <w:pict>
          <v:line id="_x0000_s1027" o:spid="_x0000_s1027" o:spt="20" style="position:absolute;left:0pt;margin-left:-5.75pt;margin-top:2.05pt;height:0pt;width:450pt;z-index:251658240;mso-width-relative:page;mso-height-relative:page;" coordsize="21600,21600" o:gfxdata="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9D7z9QAAAAHAQAADwAAAAAA&#10;AAABACAAAAAiAAAAZHJzL2Rvd25yZXYueG1sUEsBAhQAFAAAAAgAh07iQHIAlvbeAQAApQMAAA4A&#10;AAAAAAAAAQAgAAAAIwEAAGRycy9lMm9Eb2MueG1sUEsFBgAAAAAGAAYAWQEAAHMFAAAAAA==&#10;">
            <v:path arrowok="t"/>
            <v:fill focussize="0,0"/>
            <v:stroke weight="1pt"/>
            <v:imagedata o:title=""/>
            <o:lock v:ext="edit"/>
          </v:line>
        </w:pict>
      </w:r>
      <w:r>
        <w:rPr>
          <w:rFonts w:hint="eastAsia" w:ascii="方正仿宋简体" w:hAnsi="方正仿宋简体" w:eastAsia="方正仿宋简体" w:cs="方正仿宋简体"/>
          <w:color w:val="auto"/>
          <w:sz w:val="32"/>
          <w:szCs w:val="32"/>
        </w:rPr>
        <w:t>十三师生态环境局                 2020年10月</w:t>
      </w:r>
      <w:r>
        <w:rPr>
          <w:rFonts w:hint="eastAsia" w:ascii="方正仿宋简体" w:hAnsi="方正仿宋简体" w:eastAsia="方正仿宋简体" w:cs="方正仿宋简体"/>
          <w:color w:val="auto"/>
          <w:sz w:val="32"/>
          <w:szCs w:val="32"/>
          <w:lang w:val="en-US" w:eastAsia="zh-CN"/>
        </w:rPr>
        <w:t>14</w:t>
      </w:r>
      <w:r>
        <w:rPr>
          <w:rFonts w:hint="eastAsia" w:ascii="方正仿宋简体" w:hAnsi="方正仿宋简体" w:eastAsia="方正仿宋简体" w:cs="方正仿宋简体"/>
          <w:color w:val="auto"/>
          <w:sz w:val="32"/>
          <w:szCs w:val="32"/>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p>
    <w:pPr>
      <w:pStyle w:val="5"/>
    </w:pPr>
    <w:r>
      <w:pict>
        <v:shape id="_x0000_s2049" o:spid="_x0000_s2049" o:spt="202" type="#_x0000_t202" style="position:absolute;left:0pt;margin-top:-6.75pt;height:22.25pt;width:144pt;mso-position-horizontal:outside;mso-position-horizontal-relative:margin;mso-wrap-style:none;z-index:251658240;mso-width-relative:page;mso-height-relative:page;" filled="f" stroked="f" coordsize="21600,21600" o:gfxdata="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s+SV1wAAAAcBAAAPAAAA&#10;AAAAAAEAIAAAACIAAABkcnMvZG93bnJldi54bWxQSwECFAAUAAAACACHTuJAmLRMGBYCAAASBAAA&#10;DgAAAAAAAAABACAAAAAmAQAAZHJzL2Uyb0RvYy54bWxQSwUGAAAAAAYABgBZAQAArgUAAAAA&#10;">
          <v:path/>
          <v:fill on="f" focussize="0,0"/>
          <v:stroke on="f" weight="0.5pt" joinstyle="miter"/>
          <v:imagedata o:title=""/>
          <o:lock v:ext="edit"/>
          <v:textbox inset="0mm,0mm,0mm,0mm">
            <w:txbxContent>
              <w:p>
                <w:pPr>
                  <w:pStyle w:val="5"/>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ascii="方正仿宋简体" w:hAnsi="方正仿宋简体" w:eastAsia="方正仿宋简体" w:cs="方正仿宋简体"/>
                    <w:sz w:val="28"/>
                    <w:szCs w:val="28"/>
                  </w:rPr>
                  <w:t>- 1 -</w:t>
                </w:r>
                <w:r>
                  <w:rPr>
                    <w:rFonts w:hint="eastAsia" w:ascii="方正仿宋简体" w:hAnsi="方正仿宋简体" w:eastAsia="方正仿宋简体" w:cs="方正仿宋简体"/>
                    <w:sz w:val="28"/>
                    <w:szCs w:val="28"/>
                  </w:rPr>
                  <w:fldChar w:fldCharType="end"/>
                </w:r>
              </w:p>
              <w:p>
                <w:pPr>
                  <w:pStyle w:val="5"/>
                  <w:rPr>
                    <w:rFonts w:ascii="方正仿宋简体" w:hAnsi="方正仿宋简体" w:eastAsia="方正仿宋简体" w:cs="方正仿宋简体"/>
                    <w:sz w:val="28"/>
                    <w:szCs w:val="44"/>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0A55"/>
    <w:multiLevelType w:val="multilevel"/>
    <w:tmpl w:val="24690A55"/>
    <w:lvl w:ilvl="0" w:tentative="0">
      <w:start w:val="1"/>
      <w:numFmt w:val="upperRoman"/>
      <w:lvlText w:val="%1."/>
      <w:lvlJc w:val="left"/>
      <w:pPr>
        <w:tabs>
          <w:tab w:val="left" w:pos="425"/>
        </w:tabs>
        <w:ind w:left="0" w:firstLine="0"/>
      </w:pPr>
    </w:lvl>
    <w:lvl w:ilvl="1" w:tentative="0">
      <w:start w:val="1"/>
      <w:numFmt w:val="upperLetter"/>
      <w:pStyle w:val="3"/>
      <w:lvlText w:val="%2."/>
      <w:lvlJc w:val="left"/>
      <w:pPr>
        <w:tabs>
          <w:tab w:val="left" w:pos="1276"/>
        </w:tabs>
        <w:ind w:left="851" w:firstLine="0"/>
      </w:pPr>
    </w:lvl>
    <w:lvl w:ilvl="2" w:tentative="0">
      <w:start w:val="1"/>
      <w:numFmt w:val="decimal"/>
      <w:lvlText w:val="%3."/>
      <w:lvlJc w:val="left"/>
      <w:pPr>
        <w:tabs>
          <w:tab w:val="left" w:pos="2126"/>
        </w:tabs>
        <w:ind w:left="1701" w:firstLine="0"/>
      </w:pPr>
    </w:lvl>
    <w:lvl w:ilvl="3" w:tentative="0">
      <w:start w:val="1"/>
      <w:numFmt w:val="lowerLetter"/>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BC62BD"/>
    <w:rsid w:val="00123A12"/>
    <w:rsid w:val="0029770C"/>
    <w:rsid w:val="00BC63A2"/>
    <w:rsid w:val="00D969D9"/>
    <w:rsid w:val="00DF0734"/>
    <w:rsid w:val="00DF6990"/>
    <w:rsid w:val="00EF0FD3"/>
    <w:rsid w:val="09FA070F"/>
    <w:rsid w:val="12BF6D3F"/>
    <w:rsid w:val="199329B2"/>
    <w:rsid w:val="19F43DC2"/>
    <w:rsid w:val="1B4A6522"/>
    <w:rsid w:val="1C6E1667"/>
    <w:rsid w:val="1E055FA6"/>
    <w:rsid w:val="1F644E28"/>
    <w:rsid w:val="27321288"/>
    <w:rsid w:val="274F57BA"/>
    <w:rsid w:val="2C2C196C"/>
    <w:rsid w:val="358646BB"/>
    <w:rsid w:val="39065707"/>
    <w:rsid w:val="414A18DC"/>
    <w:rsid w:val="41F02D0D"/>
    <w:rsid w:val="44CE3F8D"/>
    <w:rsid w:val="469249BD"/>
    <w:rsid w:val="47A85C91"/>
    <w:rsid w:val="4D864F75"/>
    <w:rsid w:val="564A6169"/>
    <w:rsid w:val="5A5654C5"/>
    <w:rsid w:val="5C631DB8"/>
    <w:rsid w:val="69B82BEB"/>
    <w:rsid w:val="79BC62BD"/>
    <w:rsid w:val="7E436082"/>
    <w:rsid w:val="7F2C5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adjustRightInd w:val="0"/>
      <w:spacing w:before="100" w:after="100" w:line="360" w:lineRule="auto"/>
      <w:jc w:val="left"/>
      <w:textAlignment w:val="baseline"/>
      <w:outlineLvl w:val="1"/>
    </w:pPr>
    <w:rPr>
      <w:rFonts w:ascii="Arial" w:hAnsi="Arial" w:eastAsia="黑体"/>
      <w:b/>
      <w:sz w:val="28"/>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内"/>
    <w:basedOn w:val="1"/>
    <w:qFormat/>
    <w:uiPriority w:val="0"/>
    <w:pPr>
      <w:adjustRightInd w:val="0"/>
      <w:snapToGrid w:val="0"/>
      <w:spacing w:line="360" w:lineRule="exact"/>
      <w:jc w:val="center"/>
    </w:pPr>
    <w:rPr>
      <w:rFonts w:ascii="Times New Roman" w:hAnsi="Times New Roman"/>
      <w:snapToGrid w:val="0"/>
      <w:kern w:val="0"/>
    </w:rPr>
  </w:style>
  <w:style w:type="paragraph" w:styleId="4">
    <w:name w:val="Document Map"/>
    <w:basedOn w:val="1"/>
    <w:link w:val="11"/>
    <w:qFormat/>
    <w:uiPriority w:val="0"/>
    <w:rPr>
      <w:rFonts w:ascii="宋体" w:eastAsia="宋体"/>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报告"/>
    <w:basedOn w:val="1"/>
    <w:qFormat/>
    <w:uiPriority w:val="0"/>
    <w:pPr>
      <w:spacing w:line="360" w:lineRule="auto"/>
      <w:ind w:firstLine="560" w:firstLineChars="200"/>
    </w:pPr>
    <w:rPr>
      <w:sz w:val="28"/>
    </w:rPr>
  </w:style>
  <w:style w:type="character" w:customStyle="1" w:styleId="11">
    <w:name w:val="文档结构图 Char"/>
    <w:basedOn w:val="9"/>
    <w:link w:val="4"/>
    <w:qFormat/>
    <w:uiPriority w:val="0"/>
    <w:rPr>
      <w:rFonts w:ascii="宋体" w:hAnsiTheme="minorHAnsi" w:cstheme="minorBidi"/>
      <w:kern w:val="2"/>
      <w:sz w:val="18"/>
      <w:szCs w:val="18"/>
    </w:rPr>
  </w:style>
  <w:style w:type="paragraph" w:customStyle="1" w:styleId="12">
    <w:name w:val="p0"/>
    <w:basedOn w:val="1"/>
    <w:qFormat/>
    <w:uiPriority w:val="0"/>
    <w:pPr>
      <w:widowControl/>
    </w:pPr>
    <w:rPr>
      <w:rFonts w:ascii="Times New Roman" w:hAnsi="Times New Roman" w:eastAsia="宋体" w:cs="Times New Roman"/>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305</Words>
  <Characters>1742</Characters>
  <Lines>14</Lines>
  <Paragraphs>4</Paragraphs>
  <TotalTime>6</TotalTime>
  <ScaleCrop>false</ScaleCrop>
  <LinksUpToDate>false</LinksUpToDate>
  <CharactersWithSpaces>2043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2020-07-08T03:26:00Z</dcterms:created>
  <dc:creator>高艳荣（信息员）</dc:creator>
  <cp:lastModifiedBy>Cecilia～Xi</cp:lastModifiedBy>
  <cp:lastPrinted>2020-07-22T09:59:00Z</cp:lastPrinted>
  <dcterms:modified xsi:type="dcterms:W3CDTF">2020-10-14T05:18:53Z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