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哈密市红星客运服务有限公司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总经理岗位说明书</w:t>
      </w:r>
    </w:p>
    <w:tbl>
      <w:tblPr>
        <w:tblStyle w:val="3"/>
        <w:tblpPr w:leftFromText="180" w:rightFromText="180" w:vertAnchor="text" w:horzAnchor="page" w:tblpX="788" w:tblpY="315"/>
        <w:tblOverlap w:val="never"/>
        <w:tblW w:w="105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124"/>
        <w:gridCol w:w="1220"/>
        <w:gridCol w:w="1149"/>
        <w:gridCol w:w="5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Cs w:val="21"/>
                <w:lang w:bidi="ar"/>
              </w:rPr>
              <w:t>基本信息: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总经理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分管部门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eastAsia="zh-CN"/>
              </w:rPr>
              <w:t>综合管理部、</w:t>
            </w: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运营管理部、</w:t>
            </w: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eastAsia="zh-CN"/>
              </w:rPr>
              <w:t>财务部部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直接上级</w:t>
            </w:r>
          </w:p>
        </w:tc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董事会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职位序列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直接下架</w:t>
            </w:r>
          </w:p>
        </w:tc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副总经理、</w:t>
            </w: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eastAsia="zh-CN"/>
              </w:rPr>
              <w:t>部门</w:t>
            </w: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负责人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所辖人员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2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Cs w:val="21"/>
                <w:lang w:bidi="ar"/>
              </w:rPr>
              <w:t>岗位目的: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在公司董事会的授权下，组织公司经营管理工作，召开总经理办公会，执行落实公司发展战略与年度经营计划，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主持公司安全生成各项管理工作；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拟定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公司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的基本管理体制制度，健全公司管理体系，在职权范围内对有关事项进行决策并承担责任，实现公司年度经营目标与管理目标。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Cs w:val="21"/>
                <w:lang w:bidi="ar"/>
              </w:rPr>
              <w:t>工作职责与工作任务: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战略与计划</w:t>
            </w:r>
          </w:p>
        </w:tc>
        <w:tc>
          <w:tcPr>
            <w:tcW w:w="9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职责描述：组织制定公司战略规划和经营计划并予以实施。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工作任务</w:t>
            </w: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组织拟订公司长期发展战略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年度经营计划和投资计划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，经董事会审核批准后，组织、指导、协调各部门实施执行。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定期检视公司的发展战略和经营计划的执行情况，并及时根据实际情况做出相应调整。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定期将发展战略和年度经营计划的实施效果，列入总经理工作报告，并向董事会报告。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生产经营管理</w:t>
            </w:r>
          </w:p>
        </w:tc>
        <w:tc>
          <w:tcPr>
            <w:tcW w:w="9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职责描述:在董事会授权范围内，组织开展日常生产经营管理工作。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工作任务</w:t>
            </w: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依据公司授权清单，授权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公司副总经理及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其他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内设部门负责人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从事公司日常经营管理活动。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组织落实董事会相关决议，并及时向董事会汇报实施效果。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监督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拟订公司基本管理制度，确保公司章程和管理制度的有效落实。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定期检视公司安全生产各项工作任务。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推动公司经营管理层与董事会进行沟通交流。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组织处理公司重大突发事件。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在职责范围内，组织实施公司项目管理、招商引资、投融资等对外管理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工作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拟定公司重大经济合同、大额资金使用、担保等事项的计划或方案，并组织落实。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主持公司车辆管理、调度、服务质量提升等管理工作，并组织落实。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建设、推广与维护公司企业文化和品牌。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管理体系建设</w:t>
            </w:r>
          </w:p>
        </w:tc>
        <w:tc>
          <w:tcPr>
            <w:tcW w:w="9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职责描述：建立并规范公司基本管理体系及关键业务流程。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工作任务</w:t>
            </w: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检视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公司基本管理制度及业务流程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执行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，并进行动态优化调整。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优化组织架构及部门职责分工，推动人事工作实施。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组织搭建全面预算管理体系，推动公司财务管理工作。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推动公司风险防控体系建设，提升公司风险防控能力和抗风险能力。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指导建立公司内部良好的沟通机制，做好各部门间的协调工作。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i/>
                <w:iCs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i/>
                <w:iCs/>
                <w:color w:val="000000"/>
                <w:kern w:val="0"/>
                <w:szCs w:val="21"/>
                <w:lang w:bidi="ar"/>
              </w:rPr>
              <w:t>工作职责</w:t>
            </w:r>
          </w:p>
        </w:tc>
        <w:tc>
          <w:tcPr>
            <w:tcW w:w="9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职责描述：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根据授权范围，组织开展日常运营工作。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工作任务</w:t>
            </w: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签署业务文件，主持公司生产经营管理工作。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组织实施董事会决议。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</w:rPr>
              <w:t>提请聘任或者解聘公司副经理、财务负责人人选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批准职权范内对外贷款业务的风险评审和有效担保评审。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据实向董事会报送公司财务报表。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据实向董事会报送下月公司资金使用计划和费用计划，经董事会审批后执行。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主持召开总经理办公会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9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职责描述:完成董事会交办的其他工作。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Cs w:val="21"/>
                <w:lang w:bidi="ar"/>
              </w:rPr>
              <w:t>任职资格：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基本条件</w:t>
            </w:r>
          </w:p>
        </w:tc>
        <w:tc>
          <w:tcPr>
            <w:tcW w:w="9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年龄一般不超过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45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周岁，具有正常履行职责的身体条件。中共党员。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教育背景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具有大专及以上学历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企业管理、法律等相关专业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工作经验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工作年限</w:t>
            </w: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在企业管理岗5年以上从业经历，且在企业担任高管2年以上或中层、二级企业高管5年以上，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岗位经验</w:t>
            </w:r>
          </w:p>
        </w:tc>
        <w:tc>
          <w:tcPr>
            <w:tcW w:w="7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具备谋经营、抓落实、强管理的综合能力，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具体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负责企业经营发展规划、安全生产、项目管理、企业改革、招商引资等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专业知识</w:t>
            </w:r>
          </w:p>
        </w:tc>
        <w:tc>
          <w:tcPr>
            <w:tcW w:w="9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1.熟悉国家宏观政策、法律知识，全面了解本行业国内外市场动态</w:t>
            </w:r>
          </w:p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了解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交通行业的属性，有制定中长远发展战略规划的能力和经营思路</w:t>
            </w:r>
          </w:p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.具有相关的专业知识、经济知识、政治理论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基础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等</w:t>
            </w:r>
          </w:p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.熟悉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公司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生产管理、项目管理、风险防控等工作流程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专业技能</w:t>
            </w:r>
          </w:p>
        </w:tc>
        <w:tc>
          <w:tcPr>
            <w:tcW w:w="9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1.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对交通行业的属性和公司的实际，有制定中长远发展战略规划的能力和经营思路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具有较强的决策判断能力、经营管理能力、组织协调能力、改革创新能力和市场应变能力。</w:t>
            </w:r>
          </w:p>
          <w:p>
            <w:pPr>
              <w:widowControl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3.熟悉现代企业经营管理方式，具有履行岗位职责所必需的专业知识。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能力素质</w:t>
            </w:r>
          </w:p>
        </w:tc>
        <w:tc>
          <w:tcPr>
            <w:tcW w:w="9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1.具有较强的政治素质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有较强的担当与奋斗精神</w:t>
            </w:r>
          </w:p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.具有较强的大局意识与市场意识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有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较强的战略洞察能力与判断决策能力</w:t>
            </w:r>
          </w:p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.具有较强的组织协调与市场开拓能力</w:t>
            </w:r>
          </w:p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.具有较强的风险防控与危机处理能力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开阔的国际视野</w:t>
            </w:r>
          </w:p>
        </w:tc>
      </w:tr>
    </w:tbl>
    <w:p>
      <w:pPr>
        <w:pStyle w:val="2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NzkzZjBkN2RiNzYxMjE4YTYxMjdlNGMxOTYxNDIifQ=="/>
  </w:docVars>
  <w:rsids>
    <w:rsidRoot w:val="7A6E282E"/>
    <w:rsid w:val="337426A2"/>
    <w:rsid w:val="7A6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hAnsi="宋体" w:eastAsia="仿宋_GB2312" w:cs="宋体"/>
      <w:spacing w:val="-20"/>
      <w:kern w:val="0"/>
      <w:sz w:val="32"/>
      <w:szCs w:val="32"/>
    </w:rPr>
  </w:style>
  <w:style w:type="paragraph" w:customStyle="1" w:styleId="5">
    <w:name w:val="BodyText1I2"/>
    <w:basedOn w:val="6"/>
    <w:qFormat/>
    <w:uiPriority w:val="0"/>
    <w:pPr>
      <w:ind w:firstLine="420" w:firstLineChars="200"/>
    </w:pPr>
  </w:style>
  <w:style w:type="paragraph" w:customStyle="1" w:styleId="6">
    <w:name w:val="BodyTextIndent"/>
    <w:basedOn w:val="1"/>
    <w:qFormat/>
    <w:uiPriority w:val="0"/>
    <w:pPr>
      <w:spacing w:after="120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3041</Words>
  <Characters>3064</Characters>
  <Lines>0</Lines>
  <Paragraphs>0</Paragraphs>
  <TotalTime>0</TotalTime>
  <ScaleCrop>false</ScaleCrop>
  <LinksUpToDate>false</LinksUpToDate>
  <CharactersWithSpaces>3083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2022-09-13T12:02:00Z</dcterms:created>
  <dc:creator>赵行行</dc:creator>
  <cp:lastModifiedBy>赵行行</cp:lastModifiedBy>
  <dcterms:modified xsi:type="dcterms:W3CDTF">2022-09-13T12:09:34Z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A9ACBA6B60944FF088280641C95A790D</vt:lpwstr>
  </property>
</Properties>
</file>