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hint="eastAsia" w:ascii="宋体" w:hAnsi="宋体" w:eastAsia="宋体" w:cs="宋体"/>
          <w:kern w:val="0"/>
          <w:sz w:val="32"/>
          <w:szCs w:val="32"/>
          <w:lang w:val="en-US" w:eastAsia="zh-CN" w:bidi="ar"/>
        </w:rPr>
      </w:pPr>
      <w:r>
        <w:rPr>
          <w:rFonts w:hint="eastAsia" w:ascii="宋体" w:hAnsi="宋体" w:eastAsia="宋体" w:cs="宋体"/>
          <w:kern w:val="0"/>
          <w:sz w:val="32"/>
          <w:szCs w:val="32"/>
          <w:lang w:val="en-US" w:eastAsia="zh-CN" w:bidi="ar"/>
        </w:rPr>
        <w:t>附件1</w:t>
      </w:r>
    </w:p>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hint="eastAsia" w:ascii="宋体" w:hAnsi="宋体" w:eastAsia="宋体" w:cs="宋体"/>
          <w:kern w:val="0"/>
          <w:sz w:val="24"/>
          <w:lang w:val="en-US" w:eastAsia="zh-CN" w:bidi="ar"/>
        </w:rPr>
      </w:pPr>
    </w:p>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hint="default" w:ascii="宋体" w:hAnsi="宋体" w:eastAsia="宋体" w:cs="宋体"/>
          <w:kern w:val="0"/>
          <w:sz w:val="24"/>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第十三师</w:t>
      </w:r>
      <w:r>
        <w:rPr>
          <w:rFonts w:hint="eastAsia" w:ascii="方正小标宋简体" w:hAnsi="方正小标宋简体" w:eastAsia="方正小标宋简体" w:cs="方正小标宋简体"/>
          <w:b w:val="0"/>
          <w:bCs/>
          <w:sz w:val="44"/>
          <w:szCs w:val="44"/>
          <w:lang w:val="en-US" w:eastAsia="zh-CN"/>
        </w:rPr>
        <w:t>新星市</w:t>
      </w:r>
      <w:r>
        <w:rPr>
          <w:rFonts w:hint="eastAsia" w:ascii="方正小标宋简体" w:hAnsi="方正小标宋简体" w:eastAsia="方正小标宋简体" w:cs="方正小标宋简体"/>
          <w:b w:val="0"/>
          <w:bCs/>
          <w:sz w:val="44"/>
          <w:szCs w:val="44"/>
          <w:lang w:eastAsia="zh-CN"/>
        </w:rPr>
        <w:t>应急管理局行政处罚案件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信息公开表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微软雅黑" w:hAnsi="微软雅黑" w:eastAsia="微软雅黑" w:cs="微软雅黑"/>
          <w:bCs/>
          <w:kern w:val="0"/>
          <w:sz w:val="36"/>
          <w:szCs w:val="36"/>
          <w:lang w:bidi="ar"/>
        </w:rPr>
      </w:pPr>
      <w:r>
        <w:rPr>
          <w:rFonts w:hint="eastAsia" w:ascii="方正小标宋简体" w:hAnsi="方正小标宋简体" w:eastAsia="方正小标宋简体" w:cs="方正小标宋简体"/>
          <w:b w:val="0"/>
          <w:bCs/>
          <w:sz w:val="44"/>
          <w:szCs w:val="44"/>
          <w:lang w:eastAsia="zh-CN"/>
        </w:rPr>
        <w:t>（2024年第</w:t>
      </w:r>
      <w:r>
        <w:rPr>
          <w:rFonts w:hint="eastAsia" w:ascii="方正小标宋简体" w:hAnsi="方正小标宋简体" w:eastAsia="方正小标宋简体" w:cs="方正小标宋简体"/>
          <w:b w:val="0"/>
          <w:bCs/>
          <w:sz w:val="44"/>
          <w:szCs w:val="44"/>
          <w:lang w:val="en-US" w:eastAsia="zh-CN"/>
        </w:rPr>
        <w:t>2</w:t>
      </w:r>
      <w:r>
        <w:rPr>
          <w:rFonts w:hint="eastAsia" w:ascii="方正小标宋简体" w:hAnsi="方正小标宋简体" w:eastAsia="方正小标宋简体" w:cs="方正小标宋简体"/>
          <w:b w:val="0"/>
          <w:bCs/>
          <w:sz w:val="44"/>
          <w:szCs w:val="44"/>
          <w:lang w:eastAsia="zh-CN"/>
        </w:rPr>
        <w:t xml:space="preserve">期） </w:t>
      </w:r>
      <w:r>
        <w:rPr>
          <w:rFonts w:hint="eastAsia" w:ascii="微软雅黑" w:hAnsi="微软雅黑" w:eastAsia="微软雅黑" w:cs="微软雅黑"/>
          <w:bCs/>
          <w:kern w:val="0"/>
          <w:sz w:val="36"/>
          <w:szCs w:val="36"/>
          <w:lang w:bidi="ar"/>
        </w:rPr>
        <w:t xml:space="preserve"> </w:t>
      </w:r>
    </w:p>
    <w:p>
      <w:pPr>
        <w:pStyle w:val="6"/>
      </w:pPr>
    </w:p>
    <w:tbl>
      <w:tblPr>
        <w:tblStyle w:val="7"/>
        <w:tblW w:w="0" w:type="auto"/>
        <w:tblInd w:w="0" w:type="dxa"/>
        <w:tblLayout w:type="fixed"/>
        <w:tblCellMar>
          <w:top w:w="0" w:type="dxa"/>
          <w:left w:w="0" w:type="dxa"/>
          <w:bottom w:w="0" w:type="dxa"/>
          <w:right w:w="0" w:type="dxa"/>
        </w:tblCellMar>
      </w:tblPr>
      <w:tblGrid>
        <w:gridCol w:w="1917"/>
        <w:gridCol w:w="7663"/>
      </w:tblGrid>
      <w:tr>
        <w:tblPrEx>
          <w:tblCellMar>
            <w:top w:w="0" w:type="dxa"/>
            <w:left w:w="0" w:type="dxa"/>
            <w:bottom w:w="0" w:type="dxa"/>
            <w:right w:w="0" w:type="dxa"/>
          </w:tblCellMar>
        </w:tblPrEx>
        <w:trPr>
          <w:trHeight w:val="918" w:hRule="atLeast"/>
        </w:trPr>
        <w:tc>
          <w:tcPr>
            <w:tcW w:w="9580" w:type="dxa"/>
            <w:gridSpan w:val="2"/>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sz w:val="32"/>
                <w:szCs w:val="32"/>
              </w:rPr>
            </w:pPr>
            <w:r>
              <w:rPr>
                <w:rFonts w:hint="eastAsia" w:ascii="黑体" w:hAnsi="宋体" w:eastAsia="黑体" w:cs="黑体"/>
                <w:kern w:val="0"/>
                <w:sz w:val="32"/>
                <w:szCs w:val="32"/>
                <w:lang w:bidi="ar"/>
              </w:rPr>
              <w:t>第十三师安全生产行政处罚公示（师应急案〔</w:t>
            </w:r>
            <w:r>
              <w:rPr>
                <w:rFonts w:hint="eastAsia" w:ascii="黑体" w:hAnsi="宋体" w:eastAsia="黑体" w:cs="黑体"/>
                <w:kern w:val="0"/>
                <w:sz w:val="32"/>
                <w:szCs w:val="32"/>
                <w:lang w:eastAsia="zh-CN" w:bidi="ar"/>
              </w:rPr>
              <w:t>2024</w:t>
            </w:r>
            <w:r>
              <w:rPr>
                <w:rFonts w:hint="eastAsia" w:ascii="黑体" w:hAnsi="宋体" w:eastAsia="黑体" w:cs="黑体"/>
                <w:kern w:val="0"/>
                <w:sz w:val="32"/>
                <w:szCs w:val="32"/>
                <w:lang w:bidi="ar"/>
              </w:rPr>
              <w:t>〕</w:t>
            </w:r>
            <w:r>
              <w:rPr>
                <w:rFonts w:hint="eastAsia" w:ascii="黑体" w:hAnsi="宋体" w:eastAsia="黑体" w:cs="黑体"/>
                <w:kern w:val="0"/>
                <w:sz w:val="32"/>
                <w:szCs w:val="32"/>
                <w:lang w:eastAsia="zh-CN" w:bidi="ar"/>
              </w:rPr>
              <w:t>FM01</w:t>
            </w:r>
            <w:r>
              <w:rPr>
                <w:rFonts w:hint="eastAsia" w:ascii="黑体" w:hAnsi="宋体" w:eastAsia="黑体" w:cs="黑体"/>
                <w:kern w:val="0"/>
                <w:sz w:val="32"/>
                <w:szCs w:val="32"/>
                <w:lang w:bidi="ar"/>
              </w:rPr>
              <w:t>号）</w:t>
            </w:r>
          </w:p>
        </w:tc>
      </w:tr>
      <w:tr>
        <w:tblPrEx>
          <w:tblCellMar>
            <w:top w:w="0" w:type="dxa"/>
            <w:left w:w="0" w:type="dxa"/>
            <w:bottom w:w="0" w:type="dxa"/>
            <w:right w:w="0" w:type="dxa"/>
          </w:tblCellMar>
        </w:tblPrEx>
        <w:trPr>
          <w:trHeight w:val="417" w:hRule="atLeast"/>
        </w:trPr>
        <w:tc>
          <w:tcPr>
            <w:tcW w:w="9580" w:type="dxa"/>
            <w:gridSpan w:val="2"/>
            <w:tcBorders>
              <w:top w:val="nil"/>
              <w:left w:val="nil"/>
              <w:bottom w:val="nil"/>
              <w:right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left"/>
              <w:rPr>
                <w:rFonts w:ascii="宋体" w:hAnsi="宋体" w:cs="宋体"/>
                <w:sz w:val="24"/>
              </w:rPr>
            </w:pPr>
          </w:p>
        </w:tc>
      </w:tr>
      <w:tr>
        <w:tblPrEx>
          <w:tblCellMar>
            <w:top w:w="0" w:type="dxa"/>
            <w:left w:w="0" w:type="dxa"/>
            <w:bottom w:w="0" w:type="dxa"/>
            <w:right w:w="0" w:type="dxa"/>
          </w:tblCellMar>
        </w:tblPrEx>
        <w:trPr>
          <w:trHeight w:val="727" w:hRule="atLeast"/>
        </w:trPr>
        <w:tc>
          <w:tcPr>
            <w:tcW w:w="19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黑体" w:hAnsi="宋体" w:eastAsia="黑体" w:cs="黑体"/>
                <w:sz w:val="24"/>
              </w:rPr>
            </w:pPr>
            <w:r>
              <w:rPr>
                <w:rFonts w:hint="eastAsia" w:ascii="黑体" w:hAnsi="宋体" w:eastAsia="黑体" w:cs="黑体"/>
                <w:kern w:val="0"/>
                <w:sz w:val="24"/>
                <w:lang w:bidi="ar"/>
              </w:rPr>
              <w:t>处罚决定文号</w:t>
            </w:r>
          </w:p>
        </w:tc>
        <w:tc>
          <w:tcPr>
            <w:tcW w:w="7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hint="eastAsia" w:ascii="宋体" w:hAnsi="宋体" w:eastAsia="宋体" w:cs="宋体"/>
                <w:kern w:val="0"/>
                <w:sz w:val="24"/>
                <w:lang w:bidi="ar"/>
              </w:rPr>
            </w:pPr>
            <w:r>
              <w:rPr>
                <w:rFonts w:hint="eastAsia" w:ascii="宋体" w:hAnsi="宋体" w:eastAsia="宋体" w:cs="宋体"/>
                <w:kern w:val="0"/>
                <w:sz w:val="24"/>
                <w:lang w:bidi="ar"/>
              </w:rPr>
              <w:t>行政处罚决定书（十三师应急罚[</w:t>
            </w:r>
            <w:r>
              <w:rPr>
                <w:rFonts w:hint="eastAsia" w:ascii="宋体" w:hAnsi="宋体" w:cs="宋体"/>
                <w:kern w:val="0"/>
                <w:sz w:val="24"/>
                <w:lang w:eastAsia="zh-CN" w:bidi="ar"/>
              </w:rPr>
              <w:t>2024</w:t>
            </w:r>
            <w:r>
              <w:rPr>
                <w:rFonts w:hint="eastAsia" w:ascii="宋体" w:hAnsi="宋体" w:eastAsia="宋体" w:cs="宋体"/>
                <w:kern w:val="0"/>
                <w:sz w:val="24"/>
                <w:lang w:bidi="ar"/>
              </w:rPr>
              <w:t>]</w:t>
            </w:r>
            <w:r>
              <w:rPr>
                <w:rFonts w:hint="eastAsia" w:ascii="宋体" w:hAnsi="宋体" w:cs="宋体"/>
                <w:kern w:val="0"/>
                <w:sz w:val="24"/>
                <w:lang w:eastAsia="zh-CN" w:bidi="ar"/>
              </w:rPr>
              <w:t>FM01</w:t>
            </w:r>
            <w:r>
              <w:rPr>
                <w:rFonts w:hint="eastAsia" w:ascii="宋体" w:hAnsi="宋体" w:eastAsia="宋体" w:cs="宋体"/>
                <w:kern w:val="0"/>
                <w:sz w:val="24"/>
                <w:lang w:bidi="ar"/>
              </w:rPr>
              <w:t>号）</w:t>
            </w:r>
          </w:p>
        </w:tc>
      </w:tr>
      <w:tr>
        <w:tblPrEx>
          <w:tblCellMar>
            <w:top w:w="0" w:type="dxa"/>
            <w:left w:w="0" w:type="dxa"/>
            <w:bottom w:w="0" w:type="dxa"/>
            <w:right w:w="0" w:type="dxa"/>
          </w:tblCellMar>
        </w:tblPrEx>
        <w:trPr>
          <w:trHeight w:val="846" w:hRule="atLeast"/>
        </w:trPr>
        <w:tc>
          <w:tcPr>
            <w:tcW w:w="19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黑体" w:hAnsi="宋体" w:eastAsia="黑体" w:cs="黑体"/>
                <w:sz w:val="24"/>
              </w:rPr>
            </w:pPr>
            <w:r>
              <w:rPr>
                <w:rFonts w:hint="eastAsia" w:ascii="黑体" w:hAnsi="宋体" w:eastAsia="黑体" w:cs="黑体"/>
                <w:kern w:val="0"/>
                <w:sz w:val="24"/>
                <w:lang w:bidi="ar"/>
              </w:rPr>
              <w:t>处罚名称</w:t>
            </w:r>
          </w:p>
        </w:tc>
        <w:tc>
          <w:tcPr>
            <w:tcW w:w="7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hint="eastAsia" w:ascii="宋体" w:hAnsi="宋体" w:eastAsia="宋体" w:cs="宋体"/>
                <w:kern w:val="0"/>
                <w:sz w:val="24"/>
                <w:lang w:bidi="ar"/>
              </w:rPr>
            </w:pPr>
            <w:r>
              <w:rPr>
                <w:rFonts w:hint="eastAsia" w:ascii="宋体" w:hAnsi="宋体" w:cs="宋体"/>
                <w:kern w:val="0"/>
                <w:sz w:val="24"/>
                <w:lang w:eastAsia="zh-CN" w:bidi="ar"/>
              </w:rPr>
              <w:t>哈密天隆镍业有限责任公司未采取措施消除事故隐患等行政处罚案</w:t>
            </w:r>
          </w:p>
        </w:tc>
      </w:tr>
      <w:tr>
        <w:tblPrEx>
          <w:tblCellMar>
            <w:top w:w="0" w:type="dxa"/>
            <w:left w:w="0" w:type="dxa"/>
            <w:bottom w:w="0" w:type="dxa"/>
            <w:right w:w="0" w:type="dxa"/>
          </w:tblCellMar>
        </w:tblPrEx>
        <w:trPr>
          <w:trHeight w:val="767" w:hRule="atLeast"/>
        </w:trPr>
        <w:tc>
          <w:tcPr>
            <w:tcW w:w="19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黑体" w:hAnsi="宋体" w:eastAsia="黑体" w:cs="黑体"/>
                <w:sz w:val="24"/>
              </w:rPr>
            </w:pPr>
            <w:r>
              <w:rPr>
                <w:rFonts w:hint="eastAsia" w:ascii="黑体" w:hAnsi="宋体" w:eastAsia="黑体" w:cs="黑体"/>
                <w:kern w:val="0"/>
                <w:sz w:val="24"/>
                <w:lang w:bidi="ar"/>
              </w:rPr>
              <w:t>处罚类别</w:t>
            </w:r>
          </w:p>
        </w:tc>
        <w:tc>
          <w:tcPr>
            <w:tcW w:w="7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hint="eastAsia" w:ascii="宋体" w:hAnsi="宋体" w:eastAsia="宋体" w:cs="宋体"/>
                <w:kern w:val="0"/>
                <w:sz w:val="24"/>
                <w:lang w:bidi="ar"/>
              </w:rPr>
            </w:pPr>
            <w:r>
              <w:rPr>
                <w:rFonts w:hint="eastAsia" w:ascii="宋体" w:hAnsi="宋体" w:cs="宋体"/>
                <w:kern w:val="0"/>
                <w:sz w:val="24"/>
                <w:lang w:eastAsia="zh-CN" w:bidi="ar"/>
              </w:rPr>
              <w:t>责令</w:t>
            </w:r>
            <w:bookmarkStart w:id="0" w:name="_GoBack"/>
            <w:bookmarkEnd w:id="0"/>
            <w:r>
              <w:rPr>
                <w:rFonts w:hint="eastAsia" w:ascii="宋体" w:hAnsi="宋体" w:cs="宋体"/>
                <w:kern w:val="0"/>
                <w:sz w:val="24"/>
                <w:lang w:eastAsia="zh-CN" w:bidi="ar"/>
              </w:rPr>
              <w:t>限期整改，停止井下采掘作业，</w:t>
            </w:r>
            <w:r>
              <w:rPr>
                <w:rFonts w:hint="eastAsia" w:ascii="宋体" w:hAnsi="宋体" w:eastAsia="宋体" w:cs="宋体"/>
                <w:kern w:val="0"/>
                <w:sz w:val="24"/>
                <w:lang w:bidi="ar"/>
              </w:rPr>
              <w:t>并处罚款。</w:t>
            </w:r>
          </w:p>
        </w:tc>
      </w:tr>
      <w:tr>
        <w:tblPrEx>
          <w:tblCellMar>
            <w:top w:w="0" w:type="dxa"/>
            <w:left w:w="0" w:type="dxa"/>
            <w:bottom w:w="0" w:type="dxa"/>
            <w:right w:w="0" w:type="dxa"/>
          </w:tblCellMar>
        </w:tblPrEx>
        <w:trPr>
          <w:trHeight w:val="1362" w:hRule="atLeast"/>
        </w:trPr>
        <w:tc>
          <w:tcPr>
            <w:tcW w:w="19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黑体" w:hAnsi="宋体" w:eastAsia="黑体" w:cs="黑体"/>
                <w:sz w:val="24"/>
              </w:rPr>
            </w:pPr>
            <w:r>
              <w:rPr>
                <w:rFonts w:hint="eastAsia" w:ascii="黑体" w:hAnsi="宋体" w:eastAsia="黑体" w:cs="黑体"/>
                <w:kern w:val="0"/>
                <w:sz w:val="24"/>
                <w:lang w:bidi="ar"/>
              </w:rPr>
              <w:t>违法事实</w:t>
            </w:r>
          </w:p>
        </w:tc>
        <w:tc>
          <w:tcPr>
            <w:tcW w:w="7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480" w:firstLineChars="200"/>
              <w:jc w:val="left"/>
              <w:textAlignment w:val="center"/>
              <w:rPr>
                <w:rFonts w:hint="eastAsia" w:ascii="宋体" w:hAnsi="宋体" w:eastAsia="宋体" w:cs="宋体"/>
                <w:kern w:val="0"/>
                <w:sz w:val="24"/>
                <w:lang w:bidi="ar"/>
              </w:rPr>
            </w:pPr>
            <w:r>
              <w:rPr>
                <w:rFonts w:hint="eastAsia" w:ascii="宋体" w:hAnsi="宋体" w:eastAsia="宋体" w:cs="宋体"/>
                <w:kern w:val="0"/>
                <w:sz w:val="24"/>
                <w:lang w:val="en-US" w:eastAsia="zh-CN" w:bidi="ar"/>
              </w:rPr>
              <w:t>2024 年2月25至2月26日，国家矿山安全监察局新疆局对哈密天隆镍业有限责任公司开展安全监察，</w:t>
            </w:r>
            <w:r>
              <w:rPr>
                <w:rFonts w:hint="eastAsia" w:ascii="宋体" w:hAnsi="宋体" w:cs="宋体"/>
                <w:kern w:val="0"/>
                <w:sz w:val="24"/>
                <w:lang w:val="en-US" w:eastAsia="zh-CN" w:bidi="ar"/>
              </w:rPr>
              <w:t>查处</w:t>
            </w:r>
            <w:r>
              <w:rPr>
                <w:rFonts w:hint="eastAsia" w:ascii="宋体" w:hAnsi="宋体" w:eastAsia="宋体" w:cs="宋体"/>
                <w:kern w:val="0"/>
                <w:sz w:val="24"/>
                <w:lang w:val="en-US" w:eastAsia="zh-CN" w:bidi="ar"/>
              </w:rPr>
              <w:t>哈密天隆镍业有限责任公司</w:t>
            </w:r>
            <w:r>
              <w:rPr>
                <w:rFonts w:hint="eastAsia" w:ascii="宋体" w:hAnsi="宋体" w:cs="宋体"/>
                <w:kern w:val="0"/>
                <w:sz w:val="24"/>
                <w:lang w:val="en-US" w:eastAsia="zh-CN" w:bidi="ar"/>
              </w:rPr>
              <w:t>存在“</w:t>
            </w:r>
            <w:r>
              <w:rPr>
                <w:rFonts w:hint="eastAsia" w:ascii="宋体" w:hAnsi="宋体" w:eastAsia="宋体" w:cs="宋体"/>
                <w:kern w:val="0"/>
                <w:sz w:val="24"/>
                <w:lang w:val="en-US" w:eastAsia="zh-CN" w:bidi="ar"/>
              </w:rPr>
              <w:t>+482m分层采场和+482m分层西沿通风天井联络巷风速</w:t>
            </w:r>
            <w:r>
              <w:rPr>
                <w:rFonts w:hint="eastAsia" w:ascii="宋体" w:hAnsi="宋体" w:cs="宋体"/>
                <w:kern w:val="0"/>
                <w:sz w:val="24"/>
                <w:lang w:val="en-US" w:eastAsia="zh-CN" w:bidi="ar"/>
              </w:rPr>
              <w:t>不符合规范”等</w:t>
            </w:r>
            <w:r>
              <w:rPr>
                <w:rFonts w:hint="eastAsia" w:ascii="宋体" w:hAnsi="宋体" w:eastAsia="宋体" w:cs="宋体"/>
                <w:kern w:val="0"/>
                <w:sz w:val="24"/>
                <w:lang w:val="en-US" w:eastAsia="zh-CN" w:bidi="ar"/>
              </w:rPr>
              <w:t>12条隐患（详见《国家矿山安全监察矿山安全检查移交书》（新非煤安全监察三移〔2024〕7号）、询问笔录、现场检查照片等）。</w:t>
            </w:r>
            <w:r>
              <w:rPr>
                <w:rFonts w:hint="eastAsia" w:ascii="宋体" w:hAnsi="宋体" w:eastAsia="宋体" w:cs="宋体"/>
                <w:kern w:val="0"/>
                <w:sz w:val="24"/>
                <w:lang w:bidi="ar"/>
              </w:rPr>
              <w:t xml:space="preserve">     </w:t>
            </w:r>
          </w:p>
        </w:tc>
      </w:tr>
      <w:tr>
        <w:tblPrEx>
          <w:tblCellMar>
            <w:top w:w="0" w:type="dxa"/>
            <w:left w:w="0" w:type="dxa"/>
            <w:bottom w:w="0" w:type="dxa"/>
            <w:right w:w="0" w:type="dxa"/>
          </w:tblCellMar>
        </w:tblPrEx>
        <w:trPr>
          <w:trHeight w:val="1270" w:hRule="atLeast"/>
        </w:trPr>
        <w:tc>
          <w:tcPr>
            <w:tcW w:w="19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黑体" w:hAnsi="宋体" w:eastAsia="黑体" w:cs="黑体"/>
                <w:sz w:val="24"/>
              </w:rPr>
            </w:pPr>
            <w:r>
              <w:rPr>
                <w:rFonts w:hint="eastAsia" w:ascii="黑体" w:hAnsi="宋体" w:eastAsia="黑体" w:cs="黑体"/>
                <w:kern w:val="0"/>
                <w:sz w:val="24"/>
                <w:lang w:bidi="ar"/>
              </w:rPr>
              <w:t>处罚依据</w:t>
            </w:r>
          </w:p>
        </w:tc>
        <w:tc>
          <w:tcPr>
            <w:tcW w:w="7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720" w:firstLineChars="300"/>
              <w:jc w:val="left"/>
              <w:textAlignment w:val="center"/>
              <w:rPr>
                <w:rFonts w:hint="default" w:ascii="宋体" w:hAnsi="宋体" w:eastAsia="宋体" w:cs="宋体"/>
                <w:kern w:val="0"/>
                <w:sz w:val="24"/>
                <w:lang w:val="en-US" w:eastAsia="zh-CN" w:bidi="ar"/>
              </w:rPr>
            </w:pPr>
            <w:r>
              <w:rPr>
                <w:rFonts w:hint="eastAsia" w:ascii="宋体" w:hAnsi="宋体" w:cs="宋体"/>
                <w:kern w:val="0"/>
                <w:sz w:val="24"/>
                <w:lang w:val="en-US" w:eastAsia="zh-CN" w:bidi="ar"/>
              </w:rPr>
              <w:t>哈密天隆镍业有限责任公司</w:t>
            </w:r>
            <w:r>
              <w:rPr>
                <w:rFonts w:hint="default" w:ascii="宋体" w:hAnsi="宋体" w:eastAsia="宋体" w:cs="宋体"/>
                <w:kern w:val="0"/>
                <w:sz w:val="24"/>
                <w:lang w:val="en-US" w:eastAsia="zh-CN" w:bidi="ar"/>
              </w:rPr>
              <w:t>违反了</w:t>
            </w:r>
            <w:r>
              <w:rPr>
                <w:rFonts w:hint="eastAsia" w:ascii="宋体" w:hAnsi="宋体" w:cs="宋体"/>
                <w:kern w:val="0"/>
                <w:sz w:val="24"/>
                <w:lang w:val="en-US" w:eastAsia="zh-CN" w:bidi="ar"/>
              </w:rPr>
              <w:t>《中华人民共和国安全生产法》（2021年修订）第三十六条第二款、第四十一条第二款，《金属非金属地下矿山人员定位系统建设规范》4.3、4.4，《金属非金属矿山安全规程》6.6.1.3，《金属非金属矿山重大事故隐患判定标准》第二十条等规定；依据《中华人民共和国安全生产法》（2021年修订）第九十九条第（三）项、第一百零二条，《新疆维吾尔自治区应急管理系统行政处罚自由载量基准》40.5.5、43.5.2等</w:t>
            </w:r>
            <w:r>
              <w:rPr>
                <w:rFonts w:hint="default" w:ascii="宋体" w:hAnsi="宋体" w:eastAsia="宋体" w:cs="宋体"/>
                <w:kern w:val="0"/>
                <w:sz w:val="24"/>
                <w:lang w:val="en-US" w:eastAsia="zh-CN" w:bidi="ar"/>
              </w:rPr>
              <w:t>规定</w:t>
            </w:r>
            <w:r>
              <w:rPr>
                <w:rFonts w:hint="eastAsia" w:ascii="宋体" w:hAnsi="宋体" w:cs="宋体"/>
                <w:kern w:val="0"/>
                <w:sz w:val="24"/>
                <w:lang w:val="en-US" w:eastAsia="zh-CN" w:bidi="ar"/>
              </w:rPr>
              <w:t>，</w:t>
            </w:r>
            <w:r>
              <w:rPr>
                <w:rFonts w:hint="default" w:ascii="宋体" w:hAnsi="宋体" w:eastAsia="宋体" w:cs="宋体"/>
                <w:kern w:val="0"/>
                <w:sz w:val="24"/>
                <w:lang w:val="en-US" w:eastAsia="zh-CN" w:bidi="ar"/>
              </w:rPr>
              <w:t>给予行政处罚。</w:t>
            </w:r>
          </w:p>
        </w:tc>
      </w:tr>
      <w:tr>
        <w:tblPrEx>
          <w:tblCellMar>
            <w:top w:w="0" w:type="dxa"/>
            <w:left w:w="0" w:type="dxa"/>
            <w:bottom w:w="0" w:type="dxa"/>
            <w:right w:w="0" w:type="dxa"/>
          </w:tblCellMar>
        </w:tblPrEx>
        <w:trPr>
          <w:trHeight w:val="993" w:hRule="atLeast"/>
        </w:trPr>
        <w:tc>
          <w:tcPr>
            <w:tcW w:w="19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黑体" w:hAnsi="宋体" w:eastAsia="黑体" w:cs="黑体"/>
                <w:sz w:val="24"/>
              </w:rPr>
            </w:pPr>
            <w:r>
              <w:rPr>
                <w:rFonts w:hint="eastAsia" w:ascii="黑体" w:hAnsi="宋体" w:eastAsia="黑体" w:cs="黑体"/>
                <w:kern w:val="0"/>
                <w:sz w:val="24"/>
                <w:lang w:bidi="ar"/>
              </w:rPr>
              <w:t>处罚结果</w:t>
            </w:r>
          </w:p>
        </w:tc>
        <w:tc>
          <w:tcPr>
            <w:tcW w:w="7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480" w:firstLineChars="200"/>
              <w:jc w:val="left"/>
              <w:textAlignment w:val="center"/>
              <w:rPr>
                <w:rFonts w:hint="eastAsia" w:ascii="宋体" w:hAnsi="宋体" w:eastAsia="宋体" w:cs="宋体"/>
                <w:kern w:val="0"/>
                <w:sz w:val="24"/>
                <w:lang w:bidi="ar"/>
              </w:rPr>
            </w:pPr>
            <w:r>
              <w:rPr>
                <w:rFonts w:hint="eastAsia" w:ascii="宋体" w:hAnsi="宋体" w:cs="宋体"/>
                <w:kern w:val="0"/>
                <w:sz w:val="24"/>
                <w:lang w:val="en-US" w:eastAsia="zh-CN" w:bidi="ar"/>
              </w:rPr>
              <w:t>给予哈密天隆镍业有限责任公司限期整改，停止井下采掘作业，</w:t>
            </w:r>
            <w:r>
              <w:rPr>
                <w:rFonts w:hint="default" w:ascii="宋体" w:hAnsi="宋体" w:eastAsia="宋体" w:cs="宋体"/>
                <w:kern w:val="0"/>
                <w:sz w:val="24"/>
                <w:lang w:val="en-US" w:eastAsia="zh-CN" w:bidi="ar"/>
              </w:rPr>
              <w:t>并处人民币</w:t>
            </w:r>
            <w:r>
              <w:rPr>
                <w:rFonts w:hint="eastAsia" w:ascii="宋体" w:hAnsi="宋体" w:cs="宋体"/>
                <w:kern w:val="0"/>
                <w:sz w:val="24"/>
                <w:lang w:val="en-US" w:eastAsia="zh-CN" w:bidi="ar"/>
              </w:rPr>
              <w:t>60000元（大写：陆万元整）</w:t>
            </w:r>
            <w:r>
              <w:rPr>
                <w:rFonts w:hint="default" w:ascii="宋体" w:hAnsi="宋体" w:eastAsia="宋体" w:cs="宋体"/>
                <w:kern w:val="0"/>
                <w:sz w:val="24"/>
                <w:lang w:val="en-US" w:eastAsia="zh-CN" w:bidi="ar"/>
              </w:rPr>
              <w:t>罚款的行政处罚</w:t>
            </w:r>
            <w:r>
              <w:rPr>
                <w:rFonts w:hint="eastAsia" w:ascii="宋体" w:hAnsi="宋体" w:cs="宋体"/>
                <w:kern w:val="0"/>
                <w:sz w:val="24"/>
                <w:lang w:val="en-US" w:eastAsia="zh-CN" w:bidi="ar"/>
              </w:rPr>
              <w:t>。</w:t>
            </w:r>
          </w:p>
        </w:tc>
      </w:tr>
      <w:tr>
        <w:tblPrEx>
          <w:tblCellMar>
            <w:top w:w="0" w:type="dxa"/>
            <w:left w:w="0" w:type="dxa"/>
            <w:bottom w:w="0" w:type="dxa"/>
            <w:right w:w="0" w:type="dxa"/>
          </w:tblCellMar>
        </w:tblPrEx>
        <w:trPr>
          <w:trHeight w:val="727" w:hRule="atLeast"/>
        </w:trPr>
        <w:tc>
          <w:tcPr>
            <w:tcW w:w="19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黑体" w:hAnsi="宋体" w:eastAsia="黑体" w:cs="黑体"/>
                <w:sz w:val="24"/>
              </w:rPr>
            </w:pPr>
            <w:r>
              <w:rPr>
                <w:rFonts w:hint="eastAsia" w:ascii="黑体" w:hAnsi="宋体" w:eastAsia="黑体" w:cs="黑体"/>
                <w:kern w:val="0"/>
                <w:sz w:val="24"/>
                <w:lang w:bidi="ar"/>
              </w:rPr>
              <w:t>行政相对人名称</w:t>
            </w:r>
          </w:p>
        </w:tc>
        <w:tc>
          <w:tcPr>
            <w:tcW w:w="7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hint="eastAsia" w:ascii="宋体" w:hAnsi="宋体" w:eastAsia="宋体" w:cs="宋体"/>
                <w:kern w:val="0"/>
                <w:sz w:val="24"/>
                <w:lang w:val="en-US" w:eastAsia="zh-CN" w:bidi="ar"/>
              </w:rPr>
            </w:pPr>
            <w:r>
              <w:rPr>
                <w:rFonts w:hint="eastAsia" w:ascii="宋体" w:hAnsi="宋体" w:cs="宋体"/>
                <w:kern w:val="0"/>
                <w:sz w:val="24"/>
                <w:lang w:val="en-US" w:eastAsia="zh-CN" w:bidi="ar"/>
              </w:rPr>
              <w:t>哈密天隆镍业有限责任公司</w:t>
            </w:r>
            <w:r>
              <w:rPr>
                <w:rFonts w:hint="eastAsia" w:ascii="宋体" w:hAnsi="宋体" w:eastAsia="宋体" w:cs="宋体"/>
                <w:kern w:val="0"/>
                <w:sz w:val="24"/>
                <w:lang w:val="en-US" w:eastAsia="zh-CN" w:bidi="ar"/>
              </w:rPr>
              <w:t xml:space="preserve"> </w:t>
            </w:r>
          </w:p>
        </w:tc>
      </w:tr>
      <w:tr>
        <w:tblPrEx>
          <w:tblCellMar>
            <w:top w:w="0" w:type="dxa"/>
            <w:left w:w="0" w:type="dxa"/>
            <w:bottom w:w="0" w:type="dxa"/>
            <w:right w:w="0" w:type="dxa"/>
          </w:tblCellMar>
        </w:tblPrEx>
        <w:trPr>
          <w:trHeight w:val="731" w:hRule="atLeast"/>
        </w:trPr>
        <w:tc>
          <w:tcPr>
            <w:tcW w:w="19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黑体" w:hAnsi="宋体" w:eastAsia="黑体" w:cs="黑体"/>
                <w:sz w:val="24"/>
              </w:rPr>
            </w:pPr>
            <w:r>
              <w:rPr>
                <w:rFonts w:hint="eastAsia" w:ascii="黑体" w:hAnsi="宋体" w:eastAsia="黑体" w:cs="黑体"/>
                <w:kern w:val="0"/>
                <w:sz w:val="24"/>
                <w:lang w:bidi="ar"/>
              </w:rPr>
              <w:t>统一社会信用代码</w:t>
            </w:r>
          </w:p>
        </w:tc>
        <w:tc>
          <w:tcPr>
            <w:tcW w:w="76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hint="eastAsia" w:ascii="宋体" w:hAnsi="宋体" w:eastAsia="宋体" w:cs="宋体"/>
                <w:kern w:val="0"/>
                <w:sz w:val="24"/>
                <w:lang w:val="en-US" w:eastAsia="zh-CN" w:bidi="ar"/>
              </w:rPr>
            </w:pPr>
            <w:r>
              <w:rPr>
                <w:rFonts w:hint="eastAsia" w:ascii="宋体" w:hAnsi="宋体" w:eastAsia="宋体" w:cs="宋体"/>
                <w:kern w:val="0"/>
                <w:sz w:val="24"/>
                <w:lang w:val="en-US" w:eastAsia="zh-CN" w:bidi="ar"/>
              </w:rPr>
              <w:t>916522007291420113</w:t>
            </w:r>
          </w:p>
        </w:tc>
      </w:tr>
      <w:tr>
        <w:tblPrEx>
          <w:tblCellMar>
            <w:top w:w="0" w:type="dxa"/>
            <w:left w:w="0" w:type="dxa"/>
            <w:bottom w:w="0" w:type="dxa"/>
            <w:right w:w="0" w:type="dxa"/>
          </w:tblCellMar>
        </w:tblPrEx>
        <w:trPr>
          <w:trHeight w:val="582" w:hRule="atLeast"/>
        </w:trPr>
        <w:tc>
          <w:tcPr>
            <w:tcW w:w="19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黑体" w:hAnsi="宋体" w:eastAsia="黑体" w:cs="黑体"/>
                <w:sz w:val="24"/>
              </w:rPr>
            </w:pPr>
            <w:r>
              <w:rPr>
                <w:rFonts w:hint="eastAsia" w:ascii="黑体" w:hAnsi="宋体" w:eastAsia="黑体" w:cs="黑体"/>
                <w:kern w:val="0"/>
                <w:sz w:val="24"/>
                <w:lang w:bidi="ar"/>
              </w:rPr>
              <w:t>法人</w:t>
            </w:r>
            <w:r>
              <w:rPr>
                <w:rFonts w:hint="eastAsia" w:ascii="黑体" w:hAnsi="宋体" w:eastAsia="黑体" w:cs="黑体"/>
                <w:kern w:val="0"/>
                <w:sz w:val="24"/>
                <w:lang w:val="en-US" w:eastAsia="zh-CN" w:bidi="ar"/>
              </w:rPr>
              <w:t>/负责人</w:t>
            </w:r>
            <w:r>
              <w:rPr>
                <w:rFonts w:hint="eastAsia" w:ascii="黑体" w:hAnsi="宋体" w:eastAsia="黑体" w:cs="黑体"/>
                <w:kern w:val="0"/>
                <w:sz w:val="24"/>
                <w:lang w:bidi="ar"/>
              </w:rPr>
              <w:t>姓名</w:t>
            </w:r>
          </w:p>
        </w:tc>
        <w:tc>
          <w:tcPr>
            <w:tcW w:w="7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hint="eastAsia" w:ascii="宋体" w:hAnsi="宋体" w:eastAsia="宋体" w:cs="宋体"/>
                <w:kern w:val="0"/>
                <w:sz w:val="24"/>
                <w:lang w:val="en-US" w:eastAsia="zh-CN" w:bidi="ar"/>
              </w:rPr>
            </w:pPr>
            <w:r>
              <w:rPr>
                <w:rFonts w:hint="eastAsia" w:ascii="宋体" w:hAnsi="宋体" w:cs="宋体"/>
                <w:kern w:val="0"/>
                <w:sz w:val="24"/>
                <w:lang w:val="en-US" w:eastAsia="zh-CN" w:bidi="ar"/>
              </w:rPr>
              <w:t>唐东渤</w:t>
            </w:r>
          </w:p>
        </w:tc>
      </w:tr>
      <w:tr>
        <w:tblPrEx>
          <w:tblCellMar>
            <w:top w:w="0" w:type="dxa"/>
            <w:left w:w="0" w:type="dxa"/>
            <w:bottom w:w="0" w:type="dxa"/>
            <w:right w:w="0" w:type="dxa"/>
          </w:tblCellMar>
        </w:tblPrEx>
        <w:trPr>
          <w:trHeight w:val="633" w:hRule="atLeast"/>
        </w:trPr>
        <w:tc>
          <w:tcPr>
            <w:tcW w:w="19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黑体" w:hAnsi="宋体" w:eastAsia="黑体" w:cs="黑体"/>
                <w:color w:val="000000" w:themeColor="text1"/>
                <w:sz w:val="24"/>
                <w14:textFill>
                  <w14:solidFill>
                    <w14:schemeClr w14:val="tx1"/>
                  </w14:solidFill>
                </w14:textFill>
              </w:rPr>
            </w:pPr>
            <w:r>
              <w:rPr>
                <w:rFonts w:hint="eastAsia" w:ascii="黑体" w:hAnsi="宋体" w:eastAsia="黑体" w:cs="黑体"/>
                <w:color w:val="000000" w:themeColor="text1"/>
                <w:kern w:val="0"/>
                <w:sz w:val="24"/>
                <w:lang w:bidi="ar"/>
                <w14:textFill>
                  <w14:solidFill>
                    <w14:schemeClr w14:val="tx1"/>
                  </w14:solidFill>
                </w14:textFill>
              </w:rPr>
              <w:t>处罚决定日期</w:t>
            </w:r>
          </w:p>
        </w:tc>
        <w:tc>
          <w:tcPr>
            <w:tcW w:w="7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cs="宋体"/>
                <w:color w:val="000000" w:themeColor="text1"/>
                <w:kern w:val="0"/>
                <w:sz w:val="24"/>
                <w:lang w:val="en-US" w:eastAsia="zh-CN" w:bidi="ar"/>
                <w14:textFill>
                  <w14:solidFill>
                    <w14:schemeClr w14:val="tx1"/>
                  </w14:solidFill>
                </w14:textFill>
              </w:rPr>
              <w:t>2024</w:t>
            </w:r>
            <w:r>
              <w:rPr>
                <w:rFonts w:hint="eastAsia" w:ascii="宋体" w:hAnsi="宋体" w:eastAsia="宋体" w:cs="宋体"/>
                <w:color w:val="000000" w:themeColor="text1"/>
                <w:kern w:val="0"/>
                <w:sz w:val="24"/>
                <w:lang w:val="en-US" w:eastAsia="zh-CN" w:bidi="ar"/>
                <w14:textFill>
                  <w14:solidFill>
                    <w14:schemeClr w14:val="tx1"/>
                  </w14:solidFill>
                </w14:textFill>
              </w:rPr>
              <w:t>年</w:t>
            </w:r>
            <w:r>
              <w:rPr>
                <w:rFonts w:hint="eastAsia" w:ascii="宋体" w:hAnsi="宋体" w:cs="宋体"/>
                <w:color w:val="000000" w:themeColor="text1"/>
                <w:kern w:val="0"/>
                <w:sz w:val="24"/>
                <w:lang w:val="en-US" w:eastAsia="zh-CN" w:bidi="ar"/>
                <w14:textFill>
                  <w14:solidFill>
                    <w14:schemeClr w14:val="tx1"/>
                  </w14:solidFill>
                </w14:textFill>
              </w:rPr>
              <w:t>3</w:t>
            </w:r>
            <w:r>
              <w:rPr>
                <w:rFonts w:hint="eastAsia" w:ascii="宋体" w:hAnsi="宋体" w:eastAsia="宋体" w:cs="宋体"/>
                <w:color w:val="000000" w:themeColor="text1"/>
                <w:kern w:val="0"/>
                <w:sz w:val="24"/>
                <w:lang w:val="en-US" w:eastAsia="zh-CN" w:bidi="ar"/>
                <w14:textFill>
                  <w14:solidFill>
                    <w14:schemeClr w14:val="tx1"/>
                  </w14:solidFill>
                </w14:textFill>
              </w:rPr>
              <w:t>月</w:t>
            </w:r>
            <w:r>
              <w:rPr>
                <w:rFonts w:hint="eastAsia" w:ascii="宋体" w:hAnsi="宋体" w:cs="宋体"/>
                <w:color w:val="000000" w:themeColor="text1"/>
                <w:kern w:val="0"/>
                <w:sz w:val="24"/>
                <w:lang w:val="en-US" w:eastAsia="zh-CN" w:bidi="ar"/>
                <w14:textFill>
                  <w14:solidFill>
                    <w14:schemeClr w14:val="tx1"/>
                  </w14:solidFill>
                </w14:textFill>
              </w:rPr>
              <w:t>20</w:t>
            </w:r>
            <w:r>
              <w:rPr>
                <w:rFonts w:hint="eastAsia" w:ascii="宋体" w:hAnsi="宋体" w:eastAsia="宋体" w:cs="宋体"/>
                <w:color w:val="000000" w:themeColor="text1"/>
                <w:kern w:val="0"/>
                <w:sz w:val="24"/>
                <w:lang w:val="en-US" w:eastAsia="zh-CN" w:bidi="ar"/>
                <w14:textFill>
                  <w14:solidFill>
                    <w14:schemeClr w14:val="tx1"/>
                  </w14:solidFill>
                </w14:textFill>
              </w:rPr>
              <w:t>日</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hint="eastAsia" w:ascii="方正小标宋简体" w:hAnsi="方正小标宋简体" w:eastAsia="方正小标宋简体" w:cs="方正小标宋简体"/>
          <w:b w:val="0"/>
          <w:bCs/>
          <w:sz w:val="44"/>
          <w:szCs w:val="44"/>
          <w:lang w:eastAsia="zh-CN"/>
        </w:rPr>
      </w:pPr>
      <w:r>
        <w:rPr>
          <w:rFonts w:hint="eastAsia" w:ascii="宋体" w:hAnsi="宋体" w:eastAsia="宋体" w:cs="宋体"/>
          <w:kern w:val="0"/>
          <w:sz w:val="32"/>
          <w:szCs w:val="32"/>
          <w:lang w:val="en-US" w:eastAsia="zh-CN" w:bidi="ar"/>
        </w:rPr>
        <w:t>附件</w:t>
      </w:r>
      <w:r>
        <w:rPr>
          <w:rFonts w:hint="eastAsia" w:ascii="宋体" w:hAnsi="宋体" w:cs="宋体"/>
          <w:kern w:val="0"/>
          <w:sz w:val="32"/>
          <w:szCs w:val="32"/>
          <w:lang w:val="en-US" w:eastAsia="zh-CN" w:bidi="ar"/>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第十三师</w:t>
      </w:r>
      <w:r>
        <w:rPr>
          <w:rFonts w:hint="eastAsia" w:ascii="方正小标宋简体" w:hAnsi="方正小标宋简体" w:eastAsia="方正小标宋简体" w:cs="方正小标宋简体"/>
          <w:b w:val="0"/>
          <w:bCs/>
          <w:sz w:val="44"/>
          <w:szCs w:val="44"/>
          <w:lang w:val="en-US" w:eastAsia="zh-CN"/>
        </w:rPr>
        <w:t>新星市</w:t>
      </w:r>
      <w:r>
        <w:rPr>
          <w:rFonts w:hint="eastAsia" w:ascii="方正小标宋简体" w:hAnsi="方正小标宋简体" w:eastAsia="方正小标宋简体" w:cs="方正小标宋简体"/>
          <w:b w:val="0"/>
          <w:bCs/>
          <w:sz w:val="44"/>
          <w:szCs w:val="44"/>
          <w:lang w:eastAsia="zh-CN"/>
        </w:rPr>
        <w:t>应急管理局行政处罚案件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信息公开表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微软雅黑" w:hAnsi="微软雅黑" w:eastAsia="微软雅黑" w:cs="微软雅黑"/>
          <w:bCs/>
          <w:kern w:val="0"/>
          <w:sz w:val="36"/>
          <w:szCs w:val="36"/>
          <w:lang w:bidi="ar"/>
        </w:rPr>
      </w:pPr>
      <w:r>
        <w:rPr>
          <w:rFonts w:hint="eastAsia" w:ascii="方正小标宋简体" w:hAnsi="方正小标宋简体" w:eastAsia="方正小标宋简体" w:cs="方正小标宋简体"/>
          <w:b w:val="0"/>
          <w:bCs/>
          <w:sz w:val="44"/>
          <w:szCs w:val="44"/>
          <w:lang w:eastAsia="zh-CN"/>
        </w:rPr>
        <w:t>（2024年第</w:t>
      </w:r>
      <w:r>
        <w:rPr>
          <w:rFonts w:hint="eastAsia" w:ascii="方正小标宋简体" w:hAnsi="方正小标宋简体" w:eastAsia="方正小标宋简体" w:cs="方正小标宋简体"/>
          <w:b w:val="0"/>
          <w:bCs/>
          <w:sz w:val="44"/>
          <w:szCs w:val="44"/>
          <w:lang w:val="en-US" w:eastAsia="zh-CN"/>
        </w:rPr>
        <w:t>3</w:t>
      </w:r>
      <w:r>
        <w:rPr>
          <w:rFonts w:hint="eastAsia" w:ascii="方正小标宋简体" w:hAnsi="方正小标宋简体" w:eastAsia="方正小标宋简体" w:cs="方正小标宋简体"/>
          <w:b w:val="0"/>
          <w:bCs/>
          <w:sz w:val="44"/>
          <w:szCs w:val="44"/>
          <w:lang w:eastAsia="zh-CN"/>
        </w:rPr>
        <w:t xml:space="preserve">期） </w:t>
      </w:r>
      <w:r>
        <w:rPr>
          <w:rFonts w:hint="eastAsia" w:ascii="微软雅黑" w:hAnsi="微软雅黑" w:eastAsia="微软雅黑" w:cs="微软雅黑"/>
          <w:bCs/>
          <w:kern w:val="0"/>
          <w:sz w:val="36"/>
          <w:szCs w:val="36"/>
          <w:lang w:bidi="ar"/>
        </w:rPr>
        <w:t xml:space="preserve"> </w:t>
      </w:r>
    </w:p>
    <w:p>
      <w:pPr>
        <w:pStyle w:val="6"/>
      </w:pPr>
    </w:p>
    <w:tbl>
      <w:tblPr>
        <w:tblStyle w:val="7"/>
        <w:tblW w:w="0" w:type="auto"/>
        <w:tblInd w:w="0" w:type="dxa"/>
        <w:tblLayout w:type="fixed"/>
        <w:tblCellMar>
          <w:top w:w="0" w:type="dxa"/>
          <w:left w:w="0" w:type="dxa"/>
          <w:bottom w:w="0" w:type="dxa"/>
          <w:right w:w="0" w:type="dxa"/>
        </w:tblCellMar>
      </w:tblPr>
      <w:tblGrid>
        <w:gridCol w:w="1917"/>
        <w:gridCol w:w="7663"/>
      </w:tblGrid>
      <w:tr>
        <w:tblPrEx>
          <w:tblCellMar>
            <w:top w:w="0" w:type="dxa"/>
            <w:left w:w="0" w:type="dxa"/>
            <w:bottom w:w="0" w:type="dxa"/>
            <w:right w:w="0" w:type="dxa"/>
          </w:tblCellMar>
        </w:tblPrEx>
        <w:trPr>
          <w:trHeight w:val="918" w:hRule="atLeast"/>
        </w:trPr>
        <w:tc>
          <w:tcPr>
            <w:tcW w:w="9580" w:type="dxa"/>
            <w:gridSpan w:val="2"/>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sz w:val="32"/>
                <w:szCs w:val="32"/>
              </w:rPr>
            </w:pPr>
            <w:r>
              <w:rPr>
                <w:rFonts w:hint="eastAsia" w:ascii="黑体" w:hAnsi="宋体" w:eastAsia="黑体" w:cs="黑体"/>
                <w:kern w:val="0"/>
                <w:sz w:val="32"/>
                <w:szCs w:val="32"/>
                <w:lang w:bidi="ar"/>
              </w:rPr>
              <w:t>第十三师安全生产行政处罚公示（师应急案〔</w:t>
            </w:r>
            <w:r>
              <w:rPr>
                <w:rFonts w:hint="eastAsia" w:ascii="黑体" w:hAnsi="宋体" w:eastAsia="黑体" w:cs="黑体"/>
                <w:kern w:val="0"/>
                <w:sz w:val="32"/>
                <w:szCs w:val="32"/>
                <w:lang w:eastAsia="zh-CN" w:bidi="ar"/>
              </w:rPr>
              <w:t>2024</w:t>
            </w:r>
            <w:r>
              <w:rPr>
                <w:rFonts w:hint="eastAsia" w:ascii="黑体" w:hAnsi="宋体" w:eastAsia="黑体" w:cs="黑体"/>
                <w:kern w:val="0"/>
                <w:sz w:val="32"/>
                <w:szCs w:val="32"/>
                <w:lang w:bidi="ar"/>
              </w:rPr>
              <w:t>〕</w:t>
            </w:r>
            <w:r>
              <w:rPr>
                <w:rFonts w:hint="eastAsia" w:ascii="黑体" w:hAnsi="宋体" w:eastAsia="黑体" w:cs="黑体"/>
                <w:kern w:val="0"/>
                <w:sz w:val="32"/>
                <w:szCs w:val="32"/>
                <w:lang w:eastAsia="zh-CN" w:bidi="ar"/>
              </w:rPr>
              <w:t>FM02</w:t>
            </w:r>
            <w:r>
              <w:rPr>
                <w:rFonts w:hint="eastAsia" w:ascii="黑体" w:hAnsi="宋体" w:eastAsia="黑体" w:cs="黑体"/>
                <w:kern w:val="0"/>
                <w:sz w:val="32"/>
                <w:szCs w:val="32"/>
                <w:lang w:bidi="ar"/>
              </w:rPr>
              <w:t>号）</w:t>
            </w:r>
          </w:p>
        </w:tc>
      </w:tr>
      <w:tr>
        <w:tblPrEx>
          <w:tblCellMar>
            <w:top w:w="0" w:type="dxa"/>
            <w:left w:w="0" w:type="dxa"/>
            <w:bottom w:w="0" w:type="dxa"/>
            <w:right w:w="0" w:type="dxa"/>
          </w:tblCellMar>
        </w:tblPrEx>
        <w:trPr>
          <w:trHeight w:val="417" w:hRule="atLeast"/>
        </w:trPr>
        <w:tc>
          <w:tcPr>
            <w:tcW w:w="9580" w:type="dxa"/>
            <w:gridSpan w:val="2"/>
            <w:tcBorders>
              <w:top w:val="nil"/>
              <w:left w:val="nil"/>
              <w:bottom w:val="nil"/>
              <w:right w:val="nil"/>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left"/>
              <w:rPr>
                <w:rFonts w:ascii="宋体" w:hAnsi="宋体" w:cs="宋体"/>
                <w:sz w:val="24"/>
              </w:rPr>
            </w:pPr>
          </w:p>
        </w:tc>
      </w:tr>
      <w:tr>
        <w:tblPrEx>
          <w:tblCellMar>
            <w:top w:w="0" w:type="dxa"/>
            <w:left w:w="0" w:type="dxa"/>
            <w:bottom w:w="0" w:type="dxa"/>
            <w:right w:w="0" w:type="dxa"/>
          </w:tblCellMar>
        </w:tblPrEx>
        <w:trPr>
          <w:trHeight w:val="727" w:hRule="atLeast"/>
        </w:trPr>
        <w:tc>
          <w:tcPr>
            <w:tcW w:w="19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黑体" w:hAnsi="宋体" w:eastAsia="黑体" w:cs="黑体"/>
                <w:sz w:val="24"/>
              </w:rPr>
            </w:pPr>
            <w:r>
              <w:rPr>
                <w:rFonts w:hint="eastAsia" w:ascii="黑体" w:hAnsi="宋体" w:eastAsia="黑体" w:cs="黑体"/>
                <w:kern w:val="0"/>
                <w:sz w:val="24"/>
                <w:lang w:bidi="ar"/>
              </w:rPr>
              <w:t>处罚决定文号</w:t>
            </w:r>
          </w:p>
        </w:tc>
        <w:tc>
          <w:tcPr>
            <w:tcW w:w="7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hint="eastAsia" w:ascii="宋体" w:hAnsi="宋体" w:eastAsia="宋体" w:cs="宋体"/>
                <w:kern w:val="0"/>
                <w:sz w:val="24"/>
                <w:lang w:bidi="ar"/>
              </w:rPr>
            </w:pPr>
            <w:r>
              <w:rPr>
                <w:rFonts w:hint="eastAsia" w:ascii="宋体" w:hAnsi="宋体" w:eastAsia="宋体" w:cs="宋体"/>
                <w:kern w:val="0"/>
                <w:sz w:val="24"/>
                <w:lang w:bidi="ar"/>
              </w:rPr>
              <w:t>行政处罚决定书（十三师应急罚[</w:t>
            </w:r>
            <w:r>
              <w:rPr>
                <w:rFonts w:hint="eastAsia" w:ascii="宋体" w:hAnsi="宋体" w:cs="宋体"/>
                <w:kern w:val="0"/>
                <w:sz w:val="24"/>
                <w:lang w:eastAsia="zh-CN" w:bidi="ar"/>
              </w:rPr>
              <w:t>2024</w:t>
            </w:r>
            <w:r>
              <w:rPr>
                <w:rFonts w:hint="eastAsia" w:ascii="宋体" w:hAnsi="宋体" w:eastAsia="宋体" w:cs="宋体"/>
                <w:kern w:val="0"/>
                <w:sz w:val="24"/>
                <w:lang w:bidi="ar"/>
              </w:rPr>
              <w:t>]</w:t>
            </w:r>
            <w:r>
              <w:rPr>
                <w:rFonts w:hint="eastAsia" w:ascii="宋体" w:hAnsi="宋体" w:cs="宋体"/>
                <w:kern w:val="0"/>
                <w:sz w:val="24"/>
                <w:lang w:eastAsia="zh-CN" w:bidi="ar"/>
              </w:rPr>
              <w:t>FM02</w:t>
            </w:r>
            <w:r>
              <w:rPr>
                <w:rFonts w:hint="eastAsia" w:ascii="宋体" w:hAnsi="宋体" w:eastAsia="宋体" w:cs="宋体"/>
                <w:kern w:val="0"/>
                <w:sz w:val="24"/>
                <w:lang w:bidi="ar"/>
              </w:rPr>
              <w:t>号）</w:t>
            </w:r>
          </w:p>
        </w:tc>
      </w:tr>
      <w:tr>
        <w:tblPrEx>
          <w:tblCellMar>
            <w:top w:w="0" w:type="dxa"/>
            <w:left w:w="0" w:type="dxa"/>
            <w:bottom w:w="0" w:type="dxa"/>
            <w:right w:w="0" w:type="dxa"/>
          </w:tblCellMar>
        </w:tblPrEx>
        <w:trPr>
          <w:trHeight w:val="846" w:hRule="atLeast"/>
        </w:trPr>
        <w:tc>
          <w:tcPr>
            <w:tcW w:w="19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黑体" w:hAnsi="宋体" w:eastAsia="黑体" w:cs="黑体"/>
                <w:sz w:val="24"/>
              </w:rPr>
            </w:pPr>
            <w:r>
              <w:rPr>
                <w:rFonts w:hint="eastAsia" w:ascii="黑体" w:hAnsi="宋体" w:eastAsia="黑体" w:cs="黑体"/>
                <w:kern w:val="0"/>
                <w:sz w:val="24"/>
                <w:lang w:bidi="ar"/>
              </w:rPr>
              <w:t>处罚名称</w:t>
            </w:r>
          </w:p>
        </w:tc>
        <w:tc>
          <w:tcPr>
            <w:tcW w:w="7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hint="eastAsia" w:ascii="宋体" w:hAnsi="宋体" w:eastAsia="宋体" w:cs="宋体"/>
                <w:kern w:val="0"/>
                <w:sz w:val="24"/>
                <w:lang w:bidi="ar"/>
              </w:rPr>
            </w:pPr>
            <w:r>
              <w:rPr>
                <w:rFonts w:hint="eastAsia" w:ascii="宋体" w:hAnsi="宋体" w:cs="宋体"/>
                <w:kern w:val="0"/>
                <w:sz w:val="24"/>
                <w:lang w:eastAsia="zh-CN" w:bidi="ar"/>
              </w:rPr>
              <w:t>哈密镜儿泉矿业有限责任公司未采取措施消除事故隐患行政处罚案</w:t>
            </w:r>
          </w:p>
        </w:tc>
      </w:tr>
      <w:tr>
        <w:tblPrEx>
          <w:tblCellMar>
            <w:top w:w="0" w:type="dxa"/>
            <w:left w:w="0" w:type="dxa"/>
            <w:bottom w:w="0" w:type="dxa"/>
            <w:right w:w="0" w:type="dxa"/>
          </w:tblCellMar>
        </w:tblPrEx>
        <w:trPr>
          <w:trHeight w:val="767" w:hRule="atLeast"/>
        </w:trPr>
        <w:tc>
          <w:tcPr>
            <w:tcW w:w="19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黑体" w:hAnsi="宋体" w:eastAsia="黑体" w:cs="黑体"/>
                <w:sz w:val="24"/>
              </w:rPr>
            </w:pPr>
            <w:r>
              <w:rPr>
                <w:rFonts w:hint="eastAsia" w:ascii="黑体" w:hAnsi="宋体" w:eastAsia="黑体" w:cs="黑体"/>
                <w:kern w:val="0"/>
                <w:sz w:val="24"/>
                <w:lang w:bidi="ar"/>
              </w:rPr>
              <w:t>处罚类别</w:t>
            </w:r>
          </w:p>
        </w:tc>
        <w:tc>
          <w:tcPr>
            <w:tcW w:w="7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hint="eastAsia" w:ascii="宋体" w:hAnsi="宋体" w:eastAsia="宋体" w:cs="宋体"/>
                <w:kern w:val="0"/>
                <w:sz w:val="24"/>
                <w:lang w:bidi="ar"/>
              </w:rPr>
            </w:pPr>
            <w:r>
              <w:rPr>
                <w:rFonts w:hint="eastAsia" w:ascii="宋体" w:hAnsi="宋体" w:cs="宋体"/>
                <w:kern w:val="0"/>
                <w:sz w:val="24"/>
                <w:lang w:eastAsia="zh-CN" w:bidi="ar"/>
              </w:rPr>
              <w:t>责令限期整改，</w:t>
            </w:r>
            <w:r>
              <w:rPr>
                <w:rFonts w:hint="eastAsia" w:ascii="宋体" w:hAnsi="宋体" w:eastAsia="宋体" w:cs="宋体"/>
                <w:kern w:val="0"/>
                <w:sz w:val="24"/>
                <w:lang w:bidi="ar"/>
              </w:rPr>
              <w:t>并处罚款。</w:t>
            </w:r>
          </w:p>
        </w:tc>
      </w:tr>
      <w:tr>
        <w:tblPrEx>
          <w:tblCellMar>
            <w:top w:w="0" w:type="dxa"/>
            <w:left w:w="0" w:type="dxa"/>
            <w:bottom w:w="0" w:type="dxa"/>
            <w:right w:w="0" w:type="dxa"/>
          </w:tblCellMar>
        </w:tblPrEx>
        <w:trPr>
          <w:trHeight w:val="1362" w:hRule="atLeast"/>
        </w:trPr>
        <w:tc>
          <w:tcPr>
            <w:tcW w:w="19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黑体" w:hAnsi="宋体" w:eastAsia="黑体" w:cs="黑体"/>
                <w:sz w:val="24"/>
              </w:rPr>
            </w:pPr>
            <w:r>
              <w:rPr>
                <w:rFonts w:hint="eastAsia" w:ascii="黑体" w:hAnsi="宋体" w:eastAsia="黑体" w:cs="黑体"/>
                <w:kern w:val="0"/>
                <w:sz w:val="24"/>
                <w:lang w:bidi="ar"/>
              </w:rPr>
              <w:t>违法事实</w:t>
            </w:r>
          </w:p>
        </w:tc>
        <w:tc>
          <w:tcPr>
            <w:tcW w:w="7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480" w:firstLineChars="200"/>
              <w:jc w:val="left"/>
              <w:textAlignment w:val="center"/>
              <w:rPr>
                <w:rFonts w:hint="eastAsia" w:ascii="宋体" w:hAnsi="宋体" w:eastAsia="宋体" w:cs="宋体"/>
                <w:kern w:val="0"/>
                <w:sz w:val="24"/>
                <w:lang w:bidi="ar"/>
              </w:rPr>
            </w:pPr>
            <w:r>
              <w:rPr>
                <w:rFonts w:hint="eastAsia" w:ascii="宋体" w:hAnsi="宋体" w:eastAsia="宋体" w:cs="宋体"/>
                <w:kern w:val="0"/>
                <w:sz w:val="24"/>
                <w:szCs w:val="24"/>
                <w:lang w:val="en-US" w:eastAsia="zh-CN" w:bidi="ar-SA"/>
              </w:rPr>
              <w:t>2024 年2月23至2月24日，国家矿山安全监察局新疆局对哈密镜儿泉矿业有限责任公司开展安全监察，检查组通过查阅资料、井下实地检查等方式，检查出哈密镜儿泉矿业有限责任公司</w:t>
            </w:r>
            <w:r>
              <w:rPr>
                <w:rFonts w:hint="eastAsia" w:ascii="宋体" w:hAnsi="宋体" w:cs="宋体"/>
                <w:kern w:val="0"/>
                <w:sz w:val="24"/>
                <w:szCs w:val="24"/>
                <w:lang w:val="en-US" w:eastAsia="zh-CN" w:bidi="ar-SA"/>
              </w:rPr>
              <w:t>存在“安全管理人员</w:t>
            </w:r>
            <w:r>
              <w:rPr>
                <w:rFonts w:hint="eastAsia" w:ascii="宋体" w:hAnsi="宋体" w:eastAsia="宋体" w:cs="宋体"/>
                <w:kern w:val="0"/>
                <w:sz w:val="24"/>
                <w:szCs w:val="24"/>
                <w:lang w:val="en-US" w:eastAsia="zh-CN" w:bidi="ar-SA"/>
              </w:rPr>
              <w:t>未进行动火前的现场作业条件验收</w:t>
            </w:r>
            <w:r>
              <w:rPr>
                <w:rFonts w:hint="eastAsia" w:ascii="宋体" w:hAnsi="宋体" w:cs="宋体"/>
                <w:kern w:val="0"/>
                <w:sz w:val="24"/>
                <w:szCs w:val="24"/>
                <w:lang w:val="en-US" w:eastAsia="zh-CN" w:bidi="ar-SA"/>
              </w:rPr>
              <w:t>和</w:t>
            </w:r>
            <w:r>
              <w:rPr>
                <w:rFonts w:hint="eastAsia" w:ascii="宋体" w:hAnsi="宋体" w:eastAsia="宋体" w:cs="宋体"/>
                <w:kern w:val="0"/>
                <w:sz w:val="24"/>
                <w:szCs w:val="24"/>
                <w:lang w:val="en-US" w:eastAsia="zh-CN" w:bidi="ar-SA"/>
              </w:rPr>
              <w:t>进行动火后作业现场的验收</w:t>
            </w:r>
            <w:r>
              <w:rPr>
                <w:rFonts w:hint="eastAsia" w:ascii="宋体" w:hAnsi="宋体" w:cs="宋体"/>
                <w:kern w:val="0"/>
                <w:sz w:val="24"/>
                <w:szCs w:val="24"/>
                <w:lang w:val="en-US" w:eastAsia="zh-CN" w:bidi="ar-SA"/>
              </w:rPr>
              <w:t>”等</w:t>
            </w:r>
            <w:r>
              <w:rPr>
                <w:rFonts w:hint="eastAsia" w:ascii="宋体" w:hAnsi="宋体" w:eastAsia="宋体" w:cs="宋体"/>
                <w:kern w:val="0"/>
                <w:sz w:val="24"/>
                <w:szCs w:val="24"/>
                <w:lang w:val="en-US" w:eastAsia="zh-CN" w:bidi="ar-SA"/>
              </w:rPr>
              <w:t xml:space="preserve">9条隐患（详见《国家矿山安全监察矿山安全检查移交书》（新非煤安全监察三移〔2024〕6号）、询问笔录、现场检查照片等）。 </w:t>
            </w:r>
          </w:p>
        </w:tc>
      </w:tr>
      <w:tr>
        <w:tblPrEx>
          <w:tblCellMar>
            <w:top w:w="0" w:type="dxa"/>
            <w:left w:w="0" w:type="dxa"/>
            <w:bottom w:w="0" w:type="dxa"/>
            <w:right w:w="0" w:type="dxa"/>
          </w:tblCellMar>
        </w:tblPrEx>
        <w:trPr>
          <w:trHeight w:val="615" w:hRule="atLeast"/>
        </w:trPr>
        <w:tc>
          <w:tcPr>
            <w:tcW w:w="19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黑体" w:hAnsi="宋体" w:eastAsia="黑体" w:cs="黑体"/>
                <w:sz w:val="24"/>
              </w:rPr>
            </w:pPr>
            <w:r>
              <w:rPr>
                <w:rFonts w:hint="eastAsia" w:ascii="黑体" w:hAnsi="宋体" w:eastAsia="黑体" w:cs="黑体"/>
                <w:kern w:val="0"/>
                <w:sz w:val="24"/>
                <w:lang w:bidi="ar"/>
              </w:rPr>
              <w:t>处罚依据</w:t>
            </w:r>
          </w:p>
        </w:tc>
        <w:tc>
          <w:tcPr>
            <w:tcW w:w="7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480" w:firstLineChars="200"/>
              <w:jc w:val="left"/>
              <w:textAlignment w:val="center"/>
              <w:rPr>
                <w:rFonts w:hint="default" w:ascii="宋体" w:hAnsi="宋体" w:eastAsia="宋体" w:cs="宋体"/>
                <w:kern w:val="0"/>
                <w:sz w:val="24"/>
                <w:lang w:val="en-US" w:eastAsia="zh-CN" w:bidi="ar"/>
              </w:rPr>
            </w:pPr>
            <w:r>
              <w:rPr>
                <w:rFonts w:hint="default" w:ascii="宋体" w:hAnsi="宋体" w:eastAsia="宋体" w:cs="宋体"/>
                <w:kern w:val="0"/>
                <w:sz w:val="24"/>
                <w:lang w:val="en-US" w:eastAsia="zh-CN" w:bidi="ar"/>
              </w:rPr>
              <w:t>哈密镜儿泉矿业有限责任公司违反了《国家矿山安全监察局关于地下矿山动火作业安全管理规定》第八条、第十五条，《金属非金属矿山重大事故隐患判定标准》第二十九条、第三十一条，《中华人民共和国安全生产法》（2021年修订）第四十一条第二款等规定，依据《中华人民共和国安全生产法》（2021年修订）第一百零二条、《新疆维吾尔自治区应急管理系统行政处罚自由载量基准》40.5.5等规定，给予行政处罚。</w:t>
            </w:r>
          </w:p>
        </w:tc>
      </w:tr>
      <w:tr>
        <w:tblPrEx>
          <w:tblCellMar>
            <w:top w:w="0" w:type="dxa"/>
            <w:left w:w="0" w:type="dxa"/>
            <w:bottom w:w="0" w:type="dxa"/>
            <w:right w:w="0" w:type="dxa"/>
          </w:tblCellMar>
        </w:tblPrEx>
        <w:trPr>
          <w:trHeight w:val="993" w:hRule="atLeast"/>
        </w:trPr>
        <w:tc>
          <w:tcPr>
            <w:tcW w:w="19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黑体" w:hAnsi="宋体" w:eastAsia="黑体" w:cs="黑体"/>
                <w:sz w:val="24"/>
              </w:rPr>
            </w:pPr>
            <w:r>
              <w:rPr>
                <w:rFonts w:hint="eastAsia" w:ascii="黑体" w:hAnsi="宋体" w:eastAsia="黑体" w:cs="黑体"/>
                <w:kern w:val="0"/>
                <w:sz w:val="24"/>
                <w:lang w:bidi="ar"/>
              </w:rPr>
              <w:t>处罚结果</w:t>
            </w:r>
          </w:p>
        </w:tc>
        <w:tc>
          <w:tcPr>
            <w:tcW w:w="7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480" w:firstLineChars="200"/>
              <w:jc w:val="left"/>
              <w:textAlignment w:val="center"/>
              <w:rPr>
                <w:rFonts w:hint="eastAsia" w:ascii="宋体" w:hAnsi="宋体" w:eastAsia="宋体" w:cs="宋体"/>
                <w:kern w:val="0"/>
                <w:sz w:val="24"/>
                <w:lang w:bidi="ar"/>
              </w:rPr>
            </w:pPr>
            <w:r>
              <w:rPr>
                <w:rFonts w:hint="default" w:ascii="宋体" w:hAnsi="宋体" w:eastAsia="宋体" w:cs="宋体"/>
                <w:kern w:val="0"/>
                <w:sz w:val="24"/>
                <w:lang w:val="en-US" w:eastAsia="zh-CN" w:bidi="ar"/>
              </w:rPr>
              <w:t>给予</w:t>
            </w:r>
            <w:r>
              <w:rPr>
                <w:rFonts w:hint="eastAsia" w:ascii="宋体" w:hAnsi="宋体" w:cs="宋体"/>
                <w:kern w:val="0"/>
                <w:sz w:val="24"/>
                <w:lang w:val="en-US" w:eastAsia="zh-CN" w:bidi="ar"/>
              </w:rPr>
              <w:t>哈密镜儿泉矿业有限责任公司责令限期整改，</w:t>
            </w:r>
            <w:r>
              <w:rPr>
                <w:rFonts w:hint="default" w:ascii="宋体" w:hAnsi="宋体" w:eastAsia="宋体" w:cs="宋体"/>
                <w:kern w:val="0"/>
                <w:sz w:val="24"/>
                <w:lang w:val="en-US" w:eastAsia="zh-CN" w:bidi="ar"/>
              </w:rPr>
              <w:t>并处人民币</w:t>
            </w:r>
            <w:r>
              <w:rPr>
                <w:rFonts w:hint="eastAsia" w:ascii="宋体" w:hAnsi="宋体" w:cs="宋体"/>
                <w:kern w:val="0"/>
                <w:sz w:val="24"/>
                <w:lang w:val="en-US" w:eastAsia="zh-CN" w:bidi="ar"/>
              </w:rPr>
              <w:t>50000元（大写：伍万元整）</w:t>
            </w:r>
            <w:r>
              <w:rPr>
                <w:rFonts w:hint="default" w:ascii="宋体" w:hAnsi="宋体" w:eastAsia="宋体" w:cs="宋体"/>
                <w:kern w:val="0"/>
                <w:sz w:val="24"/>
                <w:lang w:val="en-US" w:eastAsia="zh-CN" w:bidi="ar"/>
              </w:rPr>
              <w:t>罚款的行政处罚。</w:t>
            </w:r>
          </w:p>
        </w:tc>
      </w:tr>
      <w:tr>
        <w:tblPrEx>
          <w:tblCellMar>
            <w:top w:w="0" w:type="dxa"/>
            <w:left w:w="0" w:type="dxa"/>
            <w:bottom w:w="0" w:type="dxa"/>
            <w:right w:w="0" w:type="dxa"/>
          </w:tblCellMar>
        </w:tblPrEx>
        <w:trPr>
          <w:trHeight w:val="727" w:hRule="atLeast"/>
        </w:trPr>
        <w:tc>
          <w:tcPr>
            <w:tcW w:w="19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黑体" w:hAnsi="宋体" w:eastAsia="黑体" w:cs="黑体"/>
                <w:sz w:val="24"/>
              </w:rPr>
            </w:pPr>
            <w:r>
              <w:rPr>
                <w:rFonts w:hint="eastAsia" w:ascii="黑体" w:hAnsi="宋体" w:eastAsia="黑体" w:cs="黑体"/>
                <w:kern w:val="0"/>
                <w:sz w:val="24"/>
                <w:lang w:bidi="ar"/>
              </w:rPr>
              <w:t>行政相对人名称</w:t>
            </w:r>
          </w:p>
        </w:tc>
        <w:tc>
          <w:tcPr>
            <w:tcW w:w="7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hint="eastAsia" w:ascii="宋体" w:hAnsi="宋体" w:eastAsia="宋体" w:cs="宋体"/>
                <w:kern w:val="0"/>
                <w:sz w:val="24"/>
                <w:lang w:val="en-US" w:eastAsia="zh-CN" w:bidi="ar"/>
              </w:rPr>
            </w:pPr>
            <w:r>
              <w:rPr>
                <w:rFonts w:hint="eastAsia" w:ascii="宋体" w:hAnsi="宋体" w:cs="宋体"/>
                <w:kern w:val="0"/>
                <w:sz w:val="24"/>
                <w:lang w:val="en-US" w:eastAsia="zh-CN" w:bidi="ar"/>
              </w:rPr>
              <w:t>哈密镜儿泉矿业有限责任公司</w:t>
            </w:r>
            <w:r>
              <w:rPr>
                <w:rFonts w:hint="eastAsia" w:ascii="宋体" w:hAnsi="宋体" w:eastAsia="宋体" w:cs="宋体"/>
                <w:kern w:val="0"/>
                <w:sz w:val="24"/>
                <w:lang w:val="en-US" w:eastAsia="zh-CN" w:bidi="ar"/>
              </w:rPr>
              <w:t xml:space="preserve"> </w:t>
            </w:r>
          </w:p>
        </w:tc>
      </w:tr>
      <w:tr>
        <w:tblPrEx>
          <w:tblCellMar>
            <w:top w:w="0" w:type="dxa"/>
            <w:left w:w="0" w:type="dxa"/>
            <w:bottom w:w="0" w:type="dxa"/>
            <w:right w:w="0" w:type="dxa"/>
          </w:tblCellMar>
        </w:tblPrEx>
        <w:trPr>
          <w:trHeight w:val="731" w:hRule="atLeast"/>
        </w:trPr>
        <w:tc>
          <w:tcPr>
            <w:tcW w:w="19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黑体" w:hAnsi="宋体" w:eastAsia="黑体" w:cs="黑体"/>
                <w:sz w:val="24"/>
              </w:rPr>
            </w:pPr>
            <w:r>
              <w:rPr>
                <w:rFonts w:hint="eastAsia" w:ascii="黑体" w:hAnsi="宋体" w:eastAsia="黑体" w:cs="黑体"/>
                <w:kern w:val="0"/>
                <w:sz w:val="24"/>
                <w:lang w:bidi="ar"/>
              </w:rPr>
              <w:t>统一社会信用代码</w:t>
            </w:r>
          </w:p>
        </w:tc>
        <w:tc>
          <w:tcPr>
            <w:tcW w:w="76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hint="eastAsia" w:ascii="宋体" w:hAnsi="宋体" w:eastAsia="宋体" w:cs="宋体"/>
                <w:kern w:val="0"/>
                <w:sz w:val="24"/>
                <w:lang w:val="en-US" w:eastAsia="zh-CN" w:bidi="ar"/>
              </w:rPr>
            </w:pPr>
            <w:r>
              <w:rPr>
                <w:rFonts w:hint="eastAsia" w:ascii="宋体" w:hAnsi="宋体" w:eastAsia="宋体" w:cs="宋体"/>
                <w:kern w:val="0"/>
                <w:sz w:val="24"/>
                <w:lang w:val="en-US" w:eastAsia="zh-CN" w:bidi="ar"/>
              </w:rPr>
              <w:t>916522007734704185</w:t>
            </w:r>
          </w:p>
        </w:tc>
      </w:tr>
      <w:tr>
        <w:tblPrEx>
          <w:tblCellMar>
            <w:top w:w="0" w:type="dxa"/>
            <w:left w:w="0" w:type="dxa"/>
            <w:bottom w:w="0" w:type="dxa"/>
            <w:right w:w="0" w:type="dxa"/>
          </w:tblCellMar>
        </w:tblPrEx>
        <w:trPr>
          <w:trHeight w:val="582" w:hRule="atLeast"/>
        </w:trPr>
        <w:tc>
          <w:tcPr>
            <w:tcW w:w="19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黑体" w:hAnsi="宋体" w:eastAsia="黑体" w:cs="黑体"/>
                <w:sz w:val="24"/>
              </w:rPr>
            </w:pPr>
            <w:r>
              <w:rPr>
                <w:rFonts w:hint="eastAsia" w:ascii="黑体" w:hAnsi="宋体" w:eastAsia="黑体" w:cs="黑体"/>
                <w:kern w:val="0"/>
                <w:sz w:val="24"/>
                <w:lang w:bidi="ar"/>
              </w:rPr>
              <w:t>法人</w:t>
            </w:r>
            <w:r>
              <w:rPr>
                <w:rFonts w:hint="eastAsia" w:ascii="黑体" w:hAnsi="宋体" w:eastAsia="黑体" w:cs="黑体"/>
                <w:kern w:val="0"/>
                <w:sz w:val="24"/>
                <w:lang w:val="en-US" w:eastAsia="zh-CN" w:bidi="ar"/>
              </w:rPr>
              <w:t>/负责人</w:t>
            </w:r>
            <w:r>
              <w:rPr>
                <w:rFonts w:hint="eastAsia" w:ascii="黑体" w:hAnsi="宋体" w:eastAsia="黑体" w:cs="黑体"/>
                <w:kern w:val="0"/>
                <w:sz w:val="24"/>
                <w:lang w:bidi="ar"/>
              </w:rPr>
              <w:t>姓名</w:t>
            </w:r>
          </w:p>
        </w:tc>
        <w:tc>
          <w:tcPr>
            <w:tcW w:w="7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hint="eastAsia" w:ascii="宋体" w:hAnsi="宋体" w:eastAsia="宋体" w:cs="宋体"/>
                <w:kern w:val="0"/>
                <w:sz w:val="24"/>
                <w:lang w:val="en-US" w:eastAsia="zh-CN" w:bidi="ar"/>
              </w:rPr>
            </w:pPr>
            <w:r>
              <w:rPr>
                <w:rFonts w:hint="eastAsia" w:ascii="宋体" w:hAnsi="宋体" w:cs="宋体"/>
                <w:kern w:val="0"/>
                <w:sz w:val="24"/>
                <w:lang w:val="en-US" w:eastAsia="zh-CN" w:bidi="ar"/>
              </w:rPr>
              <w:t>田茂华</w:t>
            </w:r>
          </w:p>
        </w:tc>
      </w:tr>
      <w:tr>
        <w:tblPrEx>
          <w:tblCellMar>
            <w:top w:w="0" w:type="dxa"/>
            <w:left w:w="0" w:type="dxa"/>
            <w:bottom w:w="0" w:type="dxa"/>
            <w:right w:w="0" w:type="dxa"/>
          </w:tblCellMar>
        </w:tblPrEx>
        <w:trPr>
          <w:trHeight w:val="633" w:hRule="atLeast"/>
        </w:trPr>
        <w:tc>
          <w:tcPr>
            <w:tcW w:w="19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黑体" w:hAnsi="宋体" w:eastAsia="黑体" w:cs="黑体"/>
                <w:color w:val="000000" w:themeColor="text1"/>
                <w:sz w:val="24"/>
                <w14:textFill>
                  <w14:solidFill>
                    <w14:schemeClr w14:val="tx1"/>
                  </w14:solidFill>
                </w14:textFill>
              </w:rPr>
            </w:pPr>
            <w:r>
              <w:rPr>
                <w:rFonts w:hint="eastAsia" w:ascii="黑体" w:hAnsi="宋体" w:eastAsia="黑体" w:cs="黑体"/>
                <w:color w:val="000000" w:themeColor="text1"/>
                <w:kern w:val="0"/>
                <w:sz w:val="24"/>
                <w:lang w:bidi="ar"/>
                <w14:textFill>
                  <w14:solidFill>
                    <w14:schemeClr w14:val="tx1"/>
                  </w14:solidFill>
                </w14:textFill>
              </w:rPr>
              <w:t>处罚决定日期</w:t>
            </w:r>
          </w:p>
        </w:tc>
        <w:tc>
          <w:tcPr>
            <w:tcW w:w="7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cs="宋体"/>
                <w:color w:val="000000" w:themeColor="text1"/>
                <w:kern w:val="0"/>
                <w:sz w:val="24"/>
                <w:lang w:val="en-US" w:eastAsia="zh-CN" w:bidi="ar"/>
                <w14:textFill>
                  <w14:solidFill>
                    <w14:schemeClr w14:val="tx1"/>
                  </w14:solidFill>
                </w14:textFill>
              </w:rPr>
              <w:t>2024</w:t>
            </w:r>
            <w:r>
              <w:rPr>
                <w:rFonts w:hint="eastAsia" w:ascii="宋体" w:hAnsi="宋体" w:eastAsia="宋体" w:cs="宋体"/>
                <w:color w:val="000000" w:themeColor="text1"/>
                <w:kern w:val="0"/>
                <w:sz w:val="24"/>
                <w:lang w:val="en-US" w:eastAsia="zh-CN" w:bidi="ar"/>
                <w14:textFill>
                  <w14:solidFill>
                    <w14:schemeClr w14:val="tx1"/>
                  </w14:solidFill>
                </w14:textFill>
              </w:rPr>
              <w:t>年</w:t>
            </w:r>
            <w:r>
              <w:rPr>
                <w:rFonts w:hint="eastAsia" w:ascii="宋体" w:hAnsi="宋体" w:cs="宋体"/>
                <w:color w:val="000000" w:themeColor="text1"/>
                <w:kern w:val="0"/>
                <w:sz w:val="24"/>
                <w:lang w:val="en-US" w:eastAsia="zh-CN" w:bidi="ar"/>
                <w14:textFill>
                  <w14:solidFill>
                    <w14:schemeClr w14:val="tx1"/>
                  </w14:solidFill>
                </w14:textFill>
              </w:rPr>
              <w:t>3</w:t>
            </w:r>
            <w:r>
              <w:rPr>
                <w:rFonts w:hint="eastAsia" w:ascii="宋体" w:hAnsi="宋体" w:eastAsia="宋体" w:cs="宋体"/>
                <w:color w:val="000000" w:themeColor="text1"/>
                <w:kern w:val="0"/>
                <w:sz w:val="24"/>
                <w:lang w:val="en-US" w:eastAsia="zh-CN" w:bidi="ar"/>
                <w14:textFill>
                  <w14:solidFill>
                    <w14:schemeClr w14:val="tx1"/>
                  </w14:solidFill>
                </w14:textFill>
              </w:rPr>
              <w:t>月</w:t>
            </w:r>
            <w:r>
              <w:rPr>
                <w:rFonts w:hint="eastAsia" w:ascii="宋体" w:hAnsi="宋体" w:cs="宋体"/>
                <w:color w:val="000000" w:themeColor="text1"/>
                <w:kern w:val="0"/>
                <w:sz w:val="24"/>
                <w:lang w:val="en-US" w:eastAsia="zh-CN" w:bidi="ar"/>
                <w14:textFill>
                  <w14:solidFill>
                    <w14:schemeClr w14:val="tx1"/>
                  </w14:solidFill>
                </w14:textFill>
              </w:rPr>
              <w:t>20</w:t>
            </w:r>
            <w:r>
              <w:rPr>
                <w:rFonts w:hint="eastAsia" w:ascii="宋体" w:hAnsi="宋体" w:eastAsia="宋体" w:cs="宋体"/>
                <w:color w:val="000000" w:themeColor="text1"/>
                <w:kern w:val="0"/>
                <w:sz w:val="24"/>
                <w:lang w:val="en-US" w:eastAsia="zh-CN" w:bidi="ar"/>
                <w14:textFill>
                  <w14:solidFill>
                    <w14:schemeClr w14:val="tx1"/>
                  </w14:solidFill>
                </w14:textFill>
              </w:rPr>
              <w:t>日</w:t>
            </w:r>
          </w:p>
        </w:tc>
      </w:tr>
    </w:tbl>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仿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0MzY5MjA1MmY3YzI5OTEzYTA0OGYwM2QyZDJiNDYifQ=="/>
  </w:docVars>
  <w:rsids>
    <w:rsidRoot w:val="00000000"/>
    <w:rsid w:val="51200A2D"/>
    <w:rsid w:val="60FF065F"/>
    <w:rsid w:val="72F1782E"/>
    <w:rsid w:val="76A17AAD"/>
    <w:rsid w:val="783E4EFC"/>
    <w:rsid w:val="7B6465D7"/>
    <w:rsid w:val="7FD83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Body Text 2"/>
    <w:basedOn w:val="1"/>
    <w:unhideWhenUsed/>
    <w:qFormat/>
    <w:uiPriority w:val="0"/>
    <w:pPr>
      <w:spacing w:after="120" w:line="480" w:lineRule="auto"/>
    </w:pPr>
  </w:style>
  <w:style w:type="paragraph" w:styleId="4">
    <w:name w:val="Body Text Indent"/>
    <w:basedOn w:val="1"/>
    <w:autoRedefine/>
    <w:qFormat/>
    <w:uiPriority w:val="0"/>
    <w:pPr>
      <w:ind w:firstLine="560" w:firstLineChars="200"/>
    </w:pPr>
    <w:rPr>
      <w:kern w:val="0"/>
      <w:sz w:val="28"/>
    </w:rPr>
  </w:style>
  <w:style w:type="paragraph" w:styleId="5">
    <w:name w:val="Body Text First Indent"/>
    <w:basedOn w:val="2"/>
    <w:qFormat/>
    <w:uiPriority w:val="0"/>
  </w:style>
  <w:style w:type="paragraph" w:styleId="6">
    <w:name w:val="Body Text First Indent 2"/>
    <w:basedOn w:val="4"/>
    <w:next w:val="5"/>
    <w:autoRedefine/>
    <w:qFormat/>
    <w:uiPriority w:val="0"/>
    <w:pPr>
      <w:spacing w:after="120"/>
      <w:ind w:left="420" w:leftChars="200"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2024-03-21T04:20:00Z</dcterms:created>
  <dc:creator>Administrator</dc:creator>
  <cp:lastModifiedBy>微尘</cp:lastModifiedBy>
  <cp:lastPrinted>2024-03-21T09:12:01Z</cp:lastPrinted>
  <dcterms:modified xsi:type="dcterms:W3CDTF">2024-03-21T09:21:22Z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E42C967ABA8F4BC39A395FB136AD2E29_12</vt:lpwstr>
  </property>
</Properties>
</file>