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D0D0D" w:themeColor="text1" w:themeTint="F2"/>
          <w:spacing w:val="0"/>
          <w:sz w:val="44"/>
          <w:szCs w:val="44"/>
          <w14:textFill>
            <w14:solidFill>
              <w14:schemeClr w14:val="tx1">
                <w14:lumMod w14:val="95000"/>
                <w14:lumOff w14:val="5000"/>
              </w14:schemeClr>
            </w14:solidFill>
          </w14:textFill>
        </w:rPr>
      </w:pPr>
      <w:r>
        <w:rPr>
          <w:rStyle w:val="7"/>
          <w:rFonts w:hint="eastAsia" w:ascii="方正小标宋简体" w:hAnsi="方正小标宋简体" w:eastAsia="方正小标宋简体" w:cs="方正小标宋简体"/>
          <w:b w:val="0"/>
          <w:bCs/>
          <w:i w:val="0"/>
          <w:caps w:val="0"/>
          <w:color w:val="0D0D0D" w:themeColor="text1" w:themeTint="F2"/>
          <w:spacing w:val="0"/>
          <w:sz w:val="44"/>
          <w:szCs w:val="44"/>
          <w:shd w:val="clear" w:fill="FFFFFF"/>
          <w14:textFill>
            <w14:solidFill>
              <w14:schemeClr w14:val="tx1">
                <w14:lumMod w14:val="95000"/>
                <w14:lumOff w14:val="5000"/>
              </w14:schemeClr>
            </w14:solidFill>
          </w14:textFill>
        </w:rPr>
        <w:t>中华人民共和国军人地位和权益保障法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楷体简体" w:hAnsi="方正楷体简体" w:eastAsia="方正楷体简体" w:cs="方正楷体简体"/>
          <w:b w:val="0"/>
          <w:bCs/>
          <w:i w:val="0"/>
          <w:caps w:val="0"/>
          <w:color w:val="0D0D0D" w:themeColor="text1" w:themeTint="F2"/>
          <w:spacing w:val="0"/>
          <w:sz w:val="24"/>
          <w:szCs w:val="24"/>
          <w14:textFill>
            <w14:solidFill>
              <w14:schemeClr w14:val="tx1">
                <w14:lumMod w14:val="95000"/>
                <w14:lumOff w14:val="5000"/>
              </w14:schemeClr>
            </w14:solidFill>
          </w14:textFill>
        </w:rPr>
      </w:pPr>
      <w:r>
        <w:rPr>
          <w:rStyle w:val="7"/>
          <w:rFonts w:hint="eastAsia" w:ascii="方正楷体简体" w:hAnsi="方正楷体简体" w:eastAsia="方正楷体简体" w:cs="方正楷体简体"/>
          <w:b w:val="0"/>
          <w:bCs/>
          <w:i w:val="0"/>
          <w:caps w:val="0"/>
          <w:color w:val="0D0D0D" w:themeColor="text1" w:themeTint="F2"/>
          <w:spacing w:val="0"/>
          <w:sz w:val="24"/>
          <w:szCs w:val="24"/>
          <w:shd w:val="clear" w:fill="FFFFFF"/>
          <w14:textFill>
            <w14:solidFill>
              <w14:schemeClr w14:val="tx1">
                <w14:lumMod w14:val="95000"/>
                <w14:lumOff w14:val="5000"/>
              </w14:schemeClr>
            </w14:solidFill>
          </w14:textFill>
        </w:rPr>
        <w:t>（2021年6月10日第十三届全国人民代表大会常务委员会第二十九次会议通过）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微软雅黑" w:hAnsi="微软雅黑" w:eastAsia="微软雅黑" w:cs="微软雅黑"/>
          <w:b w:val="0"/>
          <w:bCs/>
          <w:i w:val="0"/>
          <w:caps w:val="0"/>
          <w:color w:val="0D0D0D" w:themeColor="text1" w:themeTint="F2"/>
          <w:spacing w:val="0"/>
          <w:sz w:val="27"/>
          <w:szCs w:val="27"/>
          <w14:textFill>
            <w14:solidFill>
              <w14:schemeClr w14:val="tx1">
                <w14:lumMod w14:val="95000"/>
                <w14:lumOff w14:val="5000"/>
              </w14:schemeClr>
            </w14:solidFill>
          </w14:textFill>
        </w:rPr>
      </w:pPr>
      <w:r>
        <w:rPr>
          <w:rFonts w:hint="eastAsia" w:ascii="微软雅黑" w:hAnsi="微软雅黑" w:eastAsia="微软雅黑" w:cs="微软雅黑"/>
          <w:b w:val="0"/>
          <w:bCs/>
          <w:i w:val="0"/>
          <w:caps w:val="0"/>
          <w:color w:val="0D0D0D" w:themeColor="text1" w:themeTint="F2"/>
          <w:spacing w:val="0"/>
          <w:sz w:val="27"/>
          <w:szCs w:val="27"/>
          <w:shd w:val="clear" w:fill="FFFFFF"/>
          <w14:textFill>
            <w14:solidFill>
              <w14:schemeClr w14:val="tx1">
                <w14:lumMod w14:val="95000"/>
                <w14:lumOff w14:val="5000"/>
              </w14:schemeClr>
            </w14:solidFill>
          </w14:textFill>
        </w:rPr>
        <w:t>中华人民共和国主席令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微软雅黑" w:hAnsi="微软雅黑" w:eastAsia="微软雅黑" w:cs="微软雅黑"/>
          <w:b w:val="0"/>
          <w:bCs/>
          <w:i w:val="0"/>
          <w:caps w:val="0"/>
          <w:color w:val="0D0D0D" w:themeColor="text1" w:themeTint="F2"/>
          <w:spacing w:val="0"/>
          <w:sz w:val="27"/>
          <w:szCs w:val="27"/>
          <w14:textFill>
            <w14:solidFill>
              <w14:schemeClr w14:val="tx1">
                <w14:lumMod w14:val="95000"/>
                <w14:lumOff w14:val="5000"/>
              </w14:schemeClr>
            </w14:solidFill>
          </w14:textFill>
        </w:rPr>
      </w:pPr>
      <w:r>
        <w:rPr>
          <w:rFonts w:hint="eastAsia" w:ascii="微软雅黑" w:hAnsi="微软雅黑" w:eastAsia="微软雅黑" w:cs="微软雅黑"/>
          <w:b w:val="0"/>
          <w:bCs/>
          <w:i w:val="0"/>
          <w:caps w:val="0"/>
          <w:color w:val="0D0D0D" w:themeColor="text1" w:themeTint="F2"/>
          <w:spacing w:val="0"/>
          <w:sz w:val="27"/>
          <w:szCs w:val="27"/>
          <w:shd w:val="clear" w:fill="FFFFFF"/>
          <w14:textFill>
            <w14:solidFill>
              <w14:schemeClr w14:val="tx1">
                <w14:lumMod w14:val="95000"/>
                <w14:lumOff w14:val="5000"/>
              </w14:schemeClr>
            </w14:solidFill>
          </w14:textFill>
        </w:rPr>
        <w:t>第八十六号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ind w:left="0" w:right="0" w:firstLine="420"/>
        <w:jc w:val="both"/>
        <w:textAlignment w:val="auto"/>
        <w:rPr>
          <w:rFonts w:hint="eastAsia" w:ascii="方正楷体简体" w:hAnsi="方正楷体简体" w:eastAsia="方正楷体简体" w:cs="方正楷体简体"/>
          <w:b w:val="0"/>
          <w:bCs/>
          <w:i w:val="0"/>
          <w:caps w:val="0"/>
          <w:color w:val="0D0D0D" w:themeColor="text1" w:themeTint="F2"/>
          <w:spacing w:val="0"/>
          <w:sz w:val="27"/>
          <w:szCs w:val="27"/>
          <w14:textFill>
            <w14:solidFill>
              <w14:schemeClr w14:val="tx1">
                <w14:lumMod w14:val="95000"/>
                <w14:lumOff w14:val="5000"/>
              </w14:schemeClr>
            </w14:solidFill>
          </w14:textFill>
        </w:rPr>
      </w:pPr>
      <w:r>
        <w:rPr>
          <w:rFonts w:hint="eastAsia" w:ascii="方正楷体简体" w:hAnsi="方正楷体简体" w:eastAsia="方正楷体简体" w:cs="方正楷体简体"/>
          <w:b w:val="0"/>
          <w:bCs/>
          <w:i w:val="0"/>
          <w:caps w:val="0"/>
          <w:color w:val="0D0D0D" w:themeColor="text1" w:themeTint="F2"/>
          <w:spacing w:val="0"/>
          <w:sz w:val="27"/>
          <w:szCs w:val="27"/>
          <w:shd w:val="clear" w:fill="FFFFFF"/>
          <w14:textFill>
            <w14:solidFill>
              <w14:schemeClr w14:val="tx1">
                <w14:lumMod w14:val="95000"/>
                <w14:lumOff w14:val="5000"/>
              </w14:schemeClr>
            </w14:solidFill>
          </w14:textFill>
        </w:rPr>
        <w:t>《中华人民共和国军人地位和权益保障法》已由中华人民共和国第十三届全国人民代表大会常务委员会第二十九次会议于2021年6月10日通过，现予公布，自2021年8月1日起施行。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方正楷体简体" w:hAnsi="方正楷体简体" w:eastAsia="方正楷体简体" w:cs="方正楷体简体"/>
          <w:b w:val="0"/>
          <w:bCs/>
          <w:i w:val="0"/>
          <w:caps w:val="0"/>
          <w:color w:val="0D0D0D" w:themeColor="text1" w:themeTint="F2"/>
          <w:spacing w:val="0"/>
          <w:sz w:val="27"/>
          <w:szCs w:val="27"/>
          <w14:textFill>
            <w14:solidFill>
              <w14:schemeClr w14:val="tx1">
                <w14:lumMod w14:val="95000"/>
                <w14:lumOff w14:val="5000"/>
              </w14:schemeClr>
            </w14:solidFill>
          </w14:textFill>
        </w:rPr>
      </w:pPr>
      <w:r>
        <w:rPr>
          <w:rFonts w:hint="eastAsia" w:ascii="方正楷体简体" w:hAnsi="方正楷体简体" w:eastAsia="方正楷体简体" w:cs="方正楷体简体"/>
          <w:b w:val="0"/>
          <w:bCs/>
          <w:i w:val="0"/>
          <w:caps w:val="0"/>
          <w:color w:val="0D0D0D" w:themeColor="text1" w:themeTint="F2"/>
          <w:spacing w:val="0"/>
          <w:sz w:val="27"/>
          <w:szCs w:val="27"/>
          <w:shd w:val="clear" w:fill="FFFFFF"/>
          <w:lang w:val="en-US" w:eastAsia="zh-CN"/>
          <w14:textFill>
            <w14:solidFill>
              <w14:schemeClr w14:val="tx1">
                <w14:lumMod w14:val="95000"/>
                <w14:lumOff w14:val="5000"/>
              </w14:schemeClr>
            </w14:solidFill>
          </w14:textFill>
        </w:rPr>
        <w:t xml:space="preserve">      </w:t>
      </w:r>
      <w:bookmarkStart w:id="0" w:name="_GoBack"/>
      <w:bookmarkEnd w:id="0"/>
      <w:r>
        <w:rPr>
          <w:rFonts w:hint="eastAsia" w:ascii="方正楷体简体" w:hAnsi="方正楷体简体" w:eastAsia="方正楷体简体" w:cs="方正楷体简体"/>
          <w:b w:val="0"/>
          <w:bCs/>
          <w:i w:val="0"/>
          <w:caps w:val="0"/>
          <w:color w:val="0D0D0D" w:themeColor="text1" w:themeTint="F2"/>
          <w:spacing w:val="0"/>
          <w:sz w:val="27"/>
          <w:szCs w:val="27"/>
          <w:shd w:val="clear" w:fill="FFFFFF"/>
          <w:lang w:val="en-US" w:eastAsia="zh-CN"/>
          <w14:textFill>
            <w14:solidFill>
              <w14:schemeClr w14:val="tx1">
                <w14:lumMod w14:val="95000"/>
                <w14:lumOff w14:val="5000"/>
              </w14:schemeClr>
            </w14:solidFill>
          </w14:textFill>
        </w:rPr>
        <w:t xml:space="preserve">                  </w:t>
      </w:r>
      <w:r>
        <w:rPr>
          <w:rFonts w:hint="eastAsia" w:ascii="方正楷体简体" w:hAnsi="方正楷体简体" w:eastAsia="方正楷体简体" w:cs="方正楷体简体"/>
          <w:b w:val="0"/>
          <w:bCs/>
          <w:i w:val="0"/>
          <w:caps w:val="0"/>
          <w:color w:val="0D0D0D" w:themeColor="text1" w:themeTint="F2"/>
          <w:spacing w:val="0"/>
          <w:sz w:val="27"/>
          <w:szCs w:val="27"/>
          <w:shd w:val="clear" w:fill="FFFFFF"/>
          <w14:textFill>
            <w14:solidFill>
              <w14:schemeClr w14:val="tx1">
                <w14:lumMod w14:val="95000"/>
                <w14:lumOff w14:val="5000"/>
              </w14:schemeClr>
            </w14:solidFill>
          </w14:textFill>
        </w:rPr>
        <w:t>中华人民共和国主席  习近平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方正楷体简体" w:hAnsi="方正楷体简体" w:eastAsia="方正楷体简体" w:cs="方正楷体简体"/>
          <w:b w:val="0"/>
          <w:bCs/>
          <w:i w:val="0"/>
          <w:caps w:val="0"/>
          <w:color w:val="0D0D0D" w:themeColor="text1" w:themeTint="F2"/>
          <w:spacing w:val="0"/>
          <w:sz w:val="27"/>
          <w:szCs w:val="27"/>
          <w14:textFill>
            <w14:solidFill>
              <w14:schemeClr w14:val="tx1">
                <w14:lumMod w14:val="95000"/>
                <w14:lumOff w14:val="5000"/>
              </w14:schemeClr>
            </w14:solidFill>
          </w14:textFill>
        </w:rPr>
      </w:pPr>
      <w:r>
        <w:rPr>
          <w:rFonts w:hint="eastAsia" w:ascii="方正楷体简体" w:hAnsi="方正楷体简体" w:eastAsia="方正楷体简体" w:cs="方正楷体简体"/>
          <w:b w:val="0"/>
          <w:bCs/>
          <w:i w:val="0"/>
          <w:caps w:val="0"/>
          <w:color w:val="0D0D0D" w:themeColor="text1" w:themeTint="F2"/>
          <w:spacing w:val="0"/>
          <w:sz w:val="27"/>
          <w:szCs w:val="27"/>
          <w:shd w:val="clear" w:fill="FFFFFF"/>
          <w:lang w:val="en-US" w:eastAsia="zh-CN"/>
          <w14:textFill>
            <w14:solidFill>
              <w14:schemeClr w14:val="tx1">
                <w14:lumMod w14:val="95000"/>
                <w14:lumOff w14:val="5000"/>
              </w14:schemeClr>
            </w14:solidFill>
          </w14:textFill>
        </w:rPr>
        <w:t xml:space="preserve">                         </w:t>
      </w:r>
      <w:r>
        <w:rPr>
          <w:rFonts w:hint="eastAsia" w:ascii="方正楷体简体" w:hAnsi="方正楷体简体" w:eastAsia="方正楷体简体" w:cs="方正楷体简体"/>
          <w:b w:val="0"/>
          <w:bCs/>
          <w:i w:val="0"/>
          <w:caps w:val="0"/>
          <w:color w:val="0D0D0D" w:themeColor="text1" w:themeTint="F2"/>
          <w:spacing w:val="0"/>
          <w:sz w:val="27"/>
          <w:szCs w:val="27"/>
          <w:shd w:val="clear" w:fill="FFFFFF"/>
          <w14:textFill>
            <w14:solidFill>
              <w14:schemeClr w14:val="tx1">
                <w14:lumMod w14:val="95000"/>
                <w14:lumOff w14:val="5000"/>
              </w14:schemeClr>
            </w14:solidFill>
          </w14:textFill>
        </w:rPr>
        <w:t>2021年6月10日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微软雅黑" w:hAnsi="微软雅黑" w:eastAsia="微软雅黑" w:cs="微软雅黑"/>
          <w:i w:val="0"/>
          <w:caps w:val="0"/>
          <w:color w:val="333333"/>
          <w:spacing w:val="0"/>
          <w:sz w:val="27"/>
          <w:szCs w:val="27"/>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目  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第二章  军人地位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第三章  荣誉维护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第四章  待遇保障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第五章  抚恤优待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rPr>
      </w:pPr>
      <w:r>
        <w:rPr>
          <w:rFonts w:hint="eastAsia" w:ascii="方正黑体简体" w:hAnsi="方正黑体简体" w:eastAsia="方正黑体简体" w:cs="方正黑体简体"/>
          <w:i w:val="0"/>
          <w:caps w:val="0"/>
          <w:color w:val="333333"/>
          <w:spacing w:val="0"/>
          <w:sz w:val="32"/>
          <w:szCs w:val="32"/>
          <w:shd w:val="clear" w:fill="FFFFFF"/>
        </w:rPr>
        <w:t>第六章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黑体简体" w:hAnsi="方正黑体简体" w:eastAsia="方正黑体简体" w:cs="方正黑体简体"/>
          <w:i w:val="0"/>
          <w:caps w:val="0"/>
          <w:color w:val="333333"/>
          <w:spacing w:val="0"/>
          <w:sz w:val="32"/>
          <w:szCs w:val="32"/>
          <w:shd w:val="clear" w:fill="FFFFFF"/>
        </w:rPr>
      </w:pPr>
      <w:r>
        <w:rPr>
          <w:rFonts w:hint="eastAsia" w:ascii="方正黑体简体" w:hAnsi="方正黑体简体" w:eastAsia="方正黑体简体" w:cs="方正黑体简体"/>
          <w:i w:val="0"/>
          <w:caps w:val="0"/>
          <w:color w:val="333333"/>
          <w:spacing w:val="0"/>
          <w:sz w:val="32"/>
          <w:szCs w:val="32"/>
          <w:shd w:val="clear" w:fill="FFFFFF"/>
        </w:rPr>
        <w:t>第七章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第一条  为了保障军人地位和合法权益，激励军人履行职责使命，让军人成为全社会尊崇的职业，促进国防和军队现代化建设，根据宪法，制定本法。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第二条  本法所称军人，是指在中国人民解放军服现役的军官、军士、义务兵等人员。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第三条  军人肩负捍卫国家主权、安全、发展利益和保卫人民的和平劳动的神圣职责和崇高使命。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第四条  军人是全社会尊崇的职业。国家和社会尊重、优待军人，保障军人享有与其职业特点、担负职责使命和所做贡献相称的地位和权益，经常开展各种形式的拥军优属活动。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一切国家机关和武装力量、各政党和群团组织、企业事业单位、社会组织和其他组织都有依法保障军人地位和权益的责任，全体公民都应当依法维护军人合法权益。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第五条  军人地位和权益保障工作，坚持中国共产党的领导，以服务军队战斗力建设为根本目的，遵循权利与义务相统一、物质保障与精神激励相结合、保障水平与国民经济和社会发展相适应的原则。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第六条  中央军事委员会政治工作部门、国务院退役军人工作主管部门以及中央和国家有关机关、中央军事委员会有关部门按照职责分工做好军人地位和权益保障工作。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县级以上地方各级人民政府负责本行政区域内有关军人地位和权益保障工作。军队团级以上单位政治工作部门负责本单位的军人地位和权益保障工作。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省军区（卫戍区、警备区）、军分区（警备区）和县、自治县、市、市辖区的人民武装部，负责所在行政区域人民政府与军队单位之间军人地位和权益保障方面的联系协调工作，并根据需要建立工作协调机制。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乡镇人民政府、街道办事处、基层群众性自治组织应当按照职责做好军人地位和权益保障工作。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第七条  军人地位和权益保障所需经费，由中央和地方按照事权和支出责任相适应的原则列入预算。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第八条  中央和国家有关机关、县级以上地方人民政府及其有关部门、军队各级机关，应当将军人地位和权益保障工作情况作为拥军优属、拥政爱民等工作评比和有关单位负责人以及工作人员考核评价的重要内容。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第九条  国家鼓励和引导群团组织、企业事业单位、社会组织、个人等社会力量依法通过捐赠、志愿服务等方式为军人权益保障提供支持，符合规定条件的，依法享受税收优惠等政策。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第十条  每年8月1日为中国人民解放军建军节。各级人民政府和军队单位应当在建军节组织开展庆祝、纪念等活动。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第十一条  对在军人地位和权益保障工作中做出突出贡献的单位和个人，按照国家有关规定给予表彰、奖励。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第二章  军人地位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第十二条  军人是中国共产党领导的国家武装力量基本成员，必须忠于祖国，忠于中国共产党，听党指挥，坚决服从命令，认真履行巩固中国共产党的领导和社会主义制度的重要职责使命。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第十三条  军人是人民子弟兵，应当热爱人民，全心全意为人民服务，保卫人民生命财产安全，当遇到人民群众生命财产受到严重威胁时，挺身而出、积极救助。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第十四条  军人是捍卫国家主权、统一、领土完整的坚强力量，应当具备巩固国防、抵抗侵略、保卫祖国所需的战斗精神和能力素质，按照实战要求始终保持戒备状态，苦练杀敌本领，不怕牺牲，能打胜仗，坚决完成任务。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第十五条  军人是中国特色社会主义现代化建设的重要力量，应当积极投身全面建设社会主义现代化国家的事业，依法参加突发事件的应急救援和处置工作。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第十六条  军人享有宪法和法律规定的政治权利，依法参加国家权力机关组成人员选举，依法参加管理国家事务、管理经济和文化事业、管理社会事务。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第十七条  军队实行官兵一致，军人之间在政治和人格上一律平等，应当互相尊重、平等对待。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军队建立健全军人代表会议、军人委员会等民主制度，保障军人知情权、参与权、建议权和监督权。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第十八条  军人必须模范遵守宪法和法律，认真履行宪法和法律规定的公民义务，严格遵守军事法规、军队纪律，作风优良，带头践行社会主义核心价值观。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第十九条  国家为军人履行职责提供保障，军人依法履行职责的行为受法律保护。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军人因执行任务给公民、法人或者其他组织的合法权益造成损害的，按照有关规定由国家予以赔偿或者补偿。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公民、法人和其他组织应当为军人依法履行职责提供必要的支持和协助。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第二十条  军人因履行职责享有的特定权益、承担的特定义务，由本法和有关法律法规规定。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第三章  荣誉维护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第二十一条  军人荣誉是国家、社会对军人献身国防和军队建设、社会主义现代化建设的褒扬和激励，是鼓舞军人士气、提升军队战斗力的精神力量。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国家维护军人荣誉，激励军人崇尚和珍惜荣誉。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第二十二条  军队加强爱国主义、集体主义、革命英雄主义教育，强化军人的荣誉意识，培育有灵魂、有本事、有血性、有品德的新时代革命军人，锻造具有铁一般信仰、铁一般信念、铁一般纪律、铁一般担当的过硬部队。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第二十三条  国家采取多种形式的宣传教育、奖励激励和保障措施，培育军人的职业使命感、自豪感和荣誉感，激发军人建功立业、报效国家的积极性、主动性、创造性。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第二十四条  全社会应当学习中国人民解放军光荣历史，宣传军人功绩和牺牲奉献精神，营造维护军人荣誉的良好氛围。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各级各类学校设置的国防教育课程中，应当包括中国人民解放军光荣历史、军人英雄模范事迹等内容。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第二十五条  国家建立健全军人荣誉体系，通过授予勋章、荣誉称号和记功、嘉奖、表彰、颁发纪念章等方式，对做出突出成绩和贡献的军人给予功勋荣誉表彰，褒扬军人为国家和人民做出的奉献和牺牲。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第二十六条  军人经军队单位批准可以接受地方人民政府、群团组织和社会组织等授予的荣誉，以及国际组织和其他国家、军队等授予的荣誉。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第二十七条  获得功勋荣誉表彰的军人享受相应礼遇和待遇。军人执行作战任务获得功勋荣誉表彰的，按照高于平时的原则享受礼遇和待遇。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获得功勋荣誉表彰和执行作战任务的军人的姓名和功绩，按照规定载入功勋簿、荣誉册、地方志等史志。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第二十八条  中央和国家有关机关、地方和军队各级有关机关，以及广播、电视、报刊、互联网等媒体，应当积极宣传军人的先进典型和英勇事迹。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第二十九条  国家和社会尊崇、铭记为国家、人民、民族牺牲的军人，尊敬、礼遇其遗属。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国家建立英雄烈士纪念设施供公众瞻仰，悼念缅怀英雄烈士，开展纪念和教育活动。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国家推进军人公墓建设。军人去世后，符合规定条件的可以安葬在军人公墓。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第三十条  国家建立军人礼遇仪式制度。在公民入伍、军人退出现役等时机，应当举行相应仪式；在烈士和因公牺牲军人安葬等场合，应当举行悼念仪式。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第三十一条  地方人民政府应当为军人和烈士、因公牺牲军人、病故军人的遗属的家庭悬挂光荣牌。军人获得功勋荣誉表彰，由当地人民政府有关部门和军事机关给其家庭送喜报，并组织做好宣传工作。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第三十二条  军人的荣誉和名誉受法律保护。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军人获得的荣誉由其终身享有，非因法定事由、非经法定程序不得撤销。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任何组织和个人不得以任何方式诋毁、贬损军人的荣誉，侮辱、诽谤军人的名誉，不得故意毁损、玷污军人的荣誉标识。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第四章  待遇保障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第三十三条  国家建立军人待遇保障制度，保证军人履行职责使命，保障军人及其家庭的生活水平。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对执行作战任务和重大非战争军事行动任务的军人，以及在艰苦边远地区、特殊岗位工作的军人，待遇保障从优。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第三十四条  国家建立相对独立、特色鲜明、具有比较优势的军人工资待遇制度。军官和军士实行工资制度，义务兵实行供给制生活待遇制度。军人享受个人所得税优惠政策。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国家建立军人工资待遇正常增长机制。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军人工资待遇的结构、标准及其调整办法，由中央军事委员会规定。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第三十五条  国家采取军队保障、政府保障与市场配置相结合，实物保障与货币补贴相结合的方式，保障军人住房待遇。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军人符合规定条件的，享受军队公寓住房或者安置住房保障。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国家建立健全军人住房公积金制度和住房补贴制度。军人符合规定条件购买住房的，国家给予优惠政策支持。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第三十六条  国家保障军人按照规定享受免费医疗和疾病预防、疗养、康复等待遇。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军人在地方医疗机构就医所需费用，符合规定条件的，由军队保障。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第三十七条  国家实行体现军人职业特点、与社会保险制度相衔接的军人保险制度，适时补充军人保险项目，保障军人的保险待遇。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国家鼓励和支持商业保险机构为军人及其家庭成员提供专属保险产品。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第三十八条  军人享有年休假、探亲假等休息休假的权利。对确因工作需要未休假或者未休满假的，给予经济补偿。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第三十九条  国家建立健全军人教育培训体系，保障军人的受教育权利，组织和支持军人参加专业和文化学习培训，提高军人履行职责的能力和退出现役后的就业创业能力。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第四十条  女军人的合法权益受法律保护。军队应当根据女军人的特点，合理安排女军人的工作任务和休息休假，在生育、健康等方面为女军人提供特别保护。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第四十一条  国家对军人的婚姻给予特别保护，禁止任何破坏军人婚姻的行为。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第四十二条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军人服现役所在地发生变动的，已随军的家属可以随迁落户，或者选择将户口迁至军人、军人配偶原户籍所在地或者军人父母、军人配偶父母户籍所在地。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地方人民政府有关部门、军队有关单位应当及时高效地为军人家属随军落户办理相关手续。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第四十三条  国家保障军人、军人家属的户籍管理和相关权益。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公民入伍时保留户籍。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符合规定条件的军人，可以享受服现役所在地户籍人口在教育、养老、医疗、住房保障等方面的相关权益。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军人户籍管理和相关权益保障办法，由国务院和中央军事委员会规定。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第四十四条  国家对依法退出现役的军人，依照退役军人保障法律法规的有关规定，给予妥善安置和相应优待保障。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第五章  抚恤优待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第四十五条  国家和社会尊重军人、军人家庭为国防和军队建设做出的奉献和牺牲，优待军人、军人家属，抚恤优待烈士、因公牺牲军人、病故军人的遗属，保障残疾军人的生活。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国家建立抚恤优待保障体系，合理确定抚恤优待标准，逐步提高抚恤优待水平。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第四十六条  军人家属凭有关部门制发的证件享受法律法规规定的优待保障。具体办法由国务院和中央军事委员会有关部门制定。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第四十七条  各级人民政府应当保障抚恤优待对象享受公民普惠待遇，同时享受相应的抚恤优待待遇。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第四十八条  国家实行军人死亡抚恤制度。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军人死亡后被评定为烈士的，国家向烈士遗属颁发烈士证书，保障烈士遗属享受规定的烈士褒扬金、抚恤金和其他待遇。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军人因公牺牲、病故的，国家向其遗属颁发证书，保障其遗属享受规定的抚恤金和其他待遇。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第四十九条  国家实行军人残疾抚恤制度。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军人因战、因公、因病致残的，按照国家有关规定评定残疾等级并颁发证件，享受残疾抚恤金和其他待遇，符合规定条件的以安排工作、供养、退休等方式妥善安置。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第五十条  国家对军人家属和烈士、因公牺牲军人、病故军人的遗属予以住房优待。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军人家属和烈士、因公牺牲军人、病故军人的遗属，符合规定条件申请保障性住房的，或者居住农村且住房困难的，由当地人民政府优先解决。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烈士、因公牺牲军人、病故军人的遗属符合前款规定情形的，当地人民政府给予优惠。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第五十一条  公立医疗机构应当为军人就医提供优待服务。军人家属和烈士、因公牺牲军人、病故军人的遗属，在军队医疗机构和公立医疗机构就医享受医疗优待。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国家鼓励民营医疗机构为军人、军人家属和烈士、因公牺牲军人、病故军人的遗属就医提供优待服务。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国家和社会对残疾军人的医疗依法给予特别保障。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第五十二条  国家依法保障军人配偶就业安置权益。机关、群团组织、企业事业单位、社会组织和其他组织，应当依法履行接收军人配偶就业安置的义务。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第五十三条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第五十四条  国家鼓励和扶持军人配偶自主就业、自主创业。军人配偶从事个体经营的，按照国家有关优惠政策给予支持。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第五十五条  国家对军人子女予以教育优待。地方各级人民政府及其有关部门应当为军人子女提供当地优质教育资源，创造接受良好教育的条件。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军人子女入读公办义务教育阶段学校和普惠性幼儿园，可以在本人、父母、祖父母、外祖父母或者其他法定监护人户籍所在地，或者父母居住地、部队驻地入学，享受当地军人子女教育优待政策。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军人子女报考普通高中、中等职业学校，同等条件下优先录取；烈士、因公牺牲军人的子女和符合规定条件的军人子女，按照当地军人子女教育优待政策享受录取等方面的优待。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因公牺牲军人的子女和符合规定条件的军人子女报考高等学校，按照国家有关规定优先录取；烈士子女享受加分等优待。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烈士子女和符合规定条件的军人子女按照规定享受奖学金、助学金和有关费用免除等学生资助政策。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国家鼓励和扶持具备条件的民办学校，为军人子女和烈士、因公牺牲军人的子女提供教育优待。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第五十六条  军人家属和烈士、因公牺牲军人、病故军人的遗属，符合规定条件申请在国家兴办的光荣院、优抚医院集中供养、住院治疗、短期疗养的，享受优先、优惠待遇；申请到公办养老机构养老的，同等条件下优先安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第五十七条  军人、军人家属和烈士、因公牺牲军人、病故军人的遗属，享受参观游览公园、博物馆、纪念馆、展览馆、名胜古迹以及文化和旅游等方面的优先、优惠服务。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第五十八条  地方人民政府和军队单位对因自然灾害、意外事故、重大疾病等原因，基本生活出现严重困难的军人家庭，应当给予救助和慰问。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第五十九条  地方人民政府和军队单位对在未成年子女入学入托、老年人养老等方面遇到困难的军人家庭，应当给予必要的帮扶。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国家鼓励和支持企业事业单位、社会组织和其他组织以及个人为困难军人家庭提供援助服务。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第六十条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第六十一条  军人、军人家属和烈士、因公牺牲军人、病故军人的遗属维护合法权益遇到困难的，法律援助机构应当依法优先提供法律援助，司法机关应当依法优先提供司法救助。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第六十二条  侵害军人荣誉、名誉和其他相关合法权益，严重影响军人有效履行职责使命，致使社会公共利益受到损害的，人民检察院可以根据民事诉讼法、行政诉讼法的相关规定提起公益诉讼。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第六十三条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第六十四条  群团组织、企业事业单位、社会组织和其他组织违反本法规定，不履行优待义务的，由有关部门责令改正；对直接负责的主管人员和其他直接责任人员，依法给予处分。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第六十五条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第六十六条  冒领或者以欺诈、伪造证明材料等手段骗取本法规定的相关荣誉、待遇或者抚恤优待的，由有关部门予以取消，依法给予没收违法所得等行政处罚。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第六十七条  违反本法规定，侵害军人的合法权益，造成财产损失或者其他损害的，依法承担民事责任。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违反本法规定，构成违反治安管理行为的，依法给予治安管理处罚；构成犯罪的，依法追究刑事责任。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第七章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第六十八条  本法所称军人家属，是指军人的配偶、父母（扶养人）、未成年子女、不能独立生活的成年子女。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本法所称烈士、因公牺牲军人、病故军人的遗属，是指烈士、因公牺牲军人、病故军人的配偶、父母（扶养人）、子女，以及由其承担抚养义务的兄弟姐妹。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第六十九条  中国人民武装警察部队服现役的警官、警士和义务兵等人员，适用本法。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第七十条  省、自治区、直辖市可以结合本地实际情况，根据本法制定保障军人地位和权益的具体办法。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i w:val="0"/>
          <w:caps w:val="0"/>
          <w:color w:val="333333"/>
          <w:spacing w:val="0"/>
          <w:sz w:val="32"/>
          <w:szCs w:val="32"/>
          <w:shd w:val="clear" w:fill="FFFFFF"/>
        </w:rPr>
        <w:t>第七十一条  本法自2021年8月1日起施行。</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sectPr>
      <w:footerReference r:id="rId3" w:type="default"/>
      <w:pgSz w:w="11906" w:h="16838"/>
      <w:pgMar w:top="2098" w:right="1474"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74FD4"/>
    <w:rsid w:val="1866241A"/>
    <w:rsid w:val="23A83E7B"/>
    <w:rsid w:val="383C0633"/>
    <w:rsid w:val="3E104245"/>
    <w:rsid w:val="50304A10"/>
    <w:rsid w:val="6BEF7CF7"/>
    <w:rsid w:val="7933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2022-08-01T13:59:00Z</dcterms:created>
  <dc:creator>PC</dc:creator>
  <cp:lastModifiedBy>黑土1403223455</cp:lastModifiedBy>
  <dcterms:modified xsi:type="dcterms:W3CDTF">2025-03-10T07:45:33Z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