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C36BC" w14:textId="4C16E8EB" w:rsidR="008258C6" w:rsidRPr="008258C6" w:rsidRDefault="008258C6" w:rsidP="008258C6">
      <w:pPr>
        <w:spacing w:line="560" w:lineRule="exact"/>
        <w:rPr>
          <w:rFonts w:ascii="Times New Roman" w:eastAsia="方正黑体简体" w:hAnsi="Times New Roman" w:cs="Times New Roman"/>
          <w:sz w:val="32"/>
          <w:szCs w:val="32"/>
        </w:rPr>
      </w:pPr>
      <w:r w:rsidRPr="008258C6">
        <w:rPr>
          <w:rFonts w:ascii="Times New Roman" w:eastAsia="方正黑体简体" w:hAnsi="Times New Roman" w:cs="Times New Roman"/>
          <w:sz w:val="32"/>
          <w:szCs w:val="32"/>
        </w:rPr>
        <w:t>附件</w:t>
      </w:r>
    </w:p>
    <w:p w14:paraId="4EC73CDE" w14:textId="77777777" w:rsidR="008258C6" w:rsidRDefault="008258C6" w:rsidP="007D3874">
      <w:pPr>
        <w:spacing w:line="560" w:lineRule="exact"/>
        <w:jc w:val="center"/>
        <w:rPr>
          <w:rFonts w:ascii="方正小标宋简体" w:eastAsia="方正小标宋简体" w:hAnsi="Times New Roman" w:cs="Times New Roman"/>
          <w:sz w:val="44"/>
          <w:szCs w:val="44"/>
        </w:rPr>
      </w:pPr>
    </w:p>
    <w:p w14:paraId="5B8FD046" w14:textId="41DCCD92" w:rsidR="001449C6" w:rsidRPr="007D3874" w:rsidRDefault="00000000" w:rsidP="007D3874">
      <w:pPr>
        <w:spacing w:line="560" w:lineRule="exact"/>
        <w:jc w:val="center"/>
      </w:pPr>
      <w:r>
        <w:rPr>
          <w:rFonts w:ascii="方正小标宋简体" w:eastAsia="方正小标宋简体" w:hAnsi="Times New Roman" w:cs="Times New Roman" w:hint="eastAsia"/>
          <w:sz w:val="44"/>
          <w:szCs w:val="44"/>
        </w:rPr>
        <w:t>第十三师新星市私募股权投资基金</w:t>
      </w:r>
    </w:p>
    <w:p w14:paraId="05E44687" w14:textId="77777777" w:rsidR="001449C6" w:rsidRDefault="00000000" w:rsidP="007D3874">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监督管理暂行办法</w:t>
      </w:r>
    </w:p>
    <w:p w14:paraId="6AF6E585" w14:textId="64383608" w:rsidR="001449C6" w:rsidRDefault="00000000" w:rsidP="007D3874">
      <w:pPr>
        <w:pStyle w:val="a8"/>
        <w:spacing w:beforeAutospacing="0" w:afterAutospacing="0" w:line="560" w:lineRule="exact"/>
        <w:jc w:val="center"/>
        <w:outlineLvl w:val="0"/>
        <w:rPr>
          <w:rStyle w:val="ab"/>
          <w:rFonts w:ascii="方正楷体简体" w:eastAsia="方正楷体简体" w:hAnsi="Times New Roman"/>
          <w:b w:val="0"/>
          <w:color w:val="000000"/>
          <w:sz w:val="32"/>
          <w:szCs w:val="32"/>
          <w:shd w:val="clear" w:color="auto" w:fill="FFFFFF"/>
        </w:rPr>
      </w:pPr>
      <w:r>
        <w:rPr>
          <w:rStyle w:val="ab"/>
          <w:rFonts w:ascii="方正楷体简体" w:eastAsia="方正楷体简体" w:hAnsi="Times New Roman" w:hint="eastAsia"/>
          <w:b w:val="0"/>
          <w:color w:val="000000"/>
          <w:sz w:val="32"/>
          <w:szCs w:val="32"/>
          <w:shd w:val="clear" w:color="auto" w:fill="FFFFFF"/>
        </w:rPr>
        <w:t>（</w:t>
      </w:r>
      <w:r w:rsidR="000D549A" w:rsidRPr="000D549A">
        <w:rPr>
          <w:rStyle w:val="ab"/>
          <w:rFonts w:ascii="方正楷体简体" w:eastAsia="方正楷体简体" w:hAnsi="Times New Roman" w:hint="eastAsia"/>
          <w:b w:val="0"/>
          <w:color w:val="000000"/>
          <w:sz w:val="32"/>
          <w:szCs w:val="32"/>
          <w:shd w:val="clear" w:color="auto" w:fill="FFFFFF"/>
        </w:rPr>
        <w:t>征求意见稿</w:t>
      </w:r>
      <w:r>
        <w:rPr>
          <w:rStyle w:val="ab"/>
          <w:rFonts w:ascii="方正楷体简体" w:eastAsia="方正楷体简体" w:hAnsi="Times New Roman" w:hint="eastAsia"/>
          <w:b w:val="0"/>
          <w:color w:val="000000"/>
          <w:sz w:val="32"/>
          <w:szCs w:val="32"/>
          <w:shd w:val="clear" w:color="auto" w:fill="FFFFFF"/>
        </w:rPr>
        <w:t>）</w:t>
      </w:r>
    </w:p>
    <w:p w14:paraId="2965D878" w14:textId="77777777" w:rsidR="001449C6" w:rsidRDefault="001449C6" w:rsidP="007D3874">
      <w:pPr>
        <w:pStyle w:val="a8"/>
        <w:spacing w:beforeAutospacing="0" w:afterAutospacing="0" w:line="560" w:lineRule="exact"/>
        <w:jc w:val="center"/>
        <w:outlineLvl w:val="0"/>
        <w:rPr>
          <w:rStyle w:val="ab"/>
          <w:rFonts w:ascii="Times New Roman" w:eastAsia="仿宋_GB2312" w:hAnsi="Times New Roman"/>
          <w:b w:val="0"/>
          <w:color w:val="000000"/>
          <w:sz w:val="32"/>
          <w:szCs w:val="32"/>
          <w:shd w:val="clear" w:color="auto" w:fill="FFFFFF"/>
        </w:rPr>
      </w:pPr>
    </w:p>
    <w:p w14:paraId="1CC7A10F"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0" w:name="_Toc203415196"/>
      <w:r>
        <w:rPr>
          <w:rStyle w:val="ab"/>
          <w:rFonts w:ascii="方正黑体简体" w:eastAsia="方正黑体简体" w:hAnsi="Times New Roman" w:hint="eastAsia"/>
          <w:b w:val="0"/>
          <w:color w:val="000000"/>
          <w:sz w:val="32"/>
          <w:szCs w:val="32"/>
          <w:shd w:val="clear" w:color="auto" w:fill="FFFFFF"/>
        </w:rPr>
        <w:t>第一章  总则</w:t>
      </w:r>
      <w:bookmarkEnd w:id="0"/>
    </w:p>
    <w:p w14:paraId="682C6F3D" w14:textId="6843520B"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hint="eastAsia"/>
          <w:b w:val="0"/>
          <w:color w:val="000000"/>
          <w:sz w:val="32"/>
          <w:szCs w:val="32"/>
          <w:shd w:val="clear" w:color="auto" w:fill="FFFFFF"/>
        </w:rPr>
        <w:t>第一条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为规范和加强</w:t>
      </w:r>
      <w:r>
        <w:rPr>
          <w:rStyle w:val="ab"/>
          <w:rFonts w:ascii="Times New Roman" w:eastAsia="方正仿宋简体" w:hAnsi="Times New Roman" w:hint="eastAsia"/>
          <w:b w:val="0"/>
          <w:color w:val="000000"/>
          <w:sz w:val="32"/>
          <w:szCs w:val="32"/>
          <w:shd w:val="clear" w:color="auto" w:fill="FFFFFF"/>
        </w:rPr>
        <w:t>私募股权</w:t>
      </w:r>
      <w:r>
        <w:rPr>
          <w:rStyle w:val="ab"/>
          <w:rFonts w:ascii="Times New Roman" w:eastAsia="方正仿宋简体" w:hAnsi="Times New Roman"/>
          <w:b w:val="0"/>
          <w:color w:val="000000"/>
          <w:sz w:val="32"/>
          <w:szCs w:val="32"/>
          <w:shd w:val="clear" w:color="auto" w:fill="FFFFFF"/>
        </w:rPr>
        <w:t>投资基金管理，提高资金使用效益，推动</w:t>
      </w:r>
      <w:r>
        <w:rPr>
          <w:rStyle w:val="ab"/>
          <w:rFonts w:ascii="Times New Roman" w:eastAsia="方正仿宋简体" w:hAnsi="Times New Roman" w:hint="eastAsia"/>
          <w:b w:val="0"/>
          <w:color w:val="000000"/>
          <w:sz w:val="32"/>
          <w:szCs w:val="32"/>
          <w:shd w:val="clear" w:color="auto" w:fill="FFFFFF"/>
        </w:rPr>
        <w:t>师市国有</w:t>
      </w:r>
      <w:r>
        <w:rPr>
          <w:rStyle w:val="ab"/>
          <w:rFonts w:ascii="Times New Roman" w:eastAsia="方正仿宋简体" w:hAnsi="Times New Roman"/>
          <w:b w:val="0"/>
          <w:color w:val="000000"/>
          <w:sz w:val="32"/>
          <w:szCs w:val="32"/>
          <w:shd w:val="clear" w:color="auto" w:fill="FFFFFF"/>
        </w:rPr>
        <w:t>企业规范基金业务管理，引导企业优化资源布局和结构，充分发挥基金对经济发展的</w:t>
      </w:r>
      <w:r w:rsidR="007D3874">
        <w:rPr>
          <w:rStyle w:val="ab"/>
          <w:rFonts w:ascii="Times New Roman" w:eastAsia="方正仿宋简体" w:hAnsi="Times New Roman" w:hint="eastAsia"/>
          <w:b w:val="0"/>
          <w:color w:val="000000"/>
          <w:sz w:val="32"/>
          <w:szCs w:val="32"/>
          <w:shd w:val="clear" w:color="auto" w:fill="FFFFFF"/>
        </w:rPr>
        <w:t>促进</w:t>
      </w:r>
      <w:r>
        <w:rPr>
          <w:rStyle w:val="ab"/>
          <w:rFonts w:ascii="Times New Roman" w:eastAsia="方正仿宋简体" w:hAnsi="Times New Roman"/>
          <w:b w:val="0"/>
          <w:color w:val="000000"/>
          <w:sz w:val="32"/>
          <w:szCs w:val="32"/>
          <w:shd w:val="clear" w:color="auto" w:fill="FFFFFF"/>
        </w:rPr>
        <w:t>作用，有效防范投资基金引发的风险，根据《中华人民共和国公司法》《合伙企业法》《私募投资基金监督管理条例》（国务院令第</w:t>
      </w:r>
      <w:r>
        <w:rPr>
          <w:rStyle w:val="ab"/>
          <w:rFonts w:ascii="Times New Roman" w:eastAsia="方正仿宋简体" w:hAnsi="Times New Roman"/>
          <w:b w:val="0"/>
          <w:color w:val="000000"/>
          <w:sz w:val="32"/>
          <w:szCs w:val="32"/>
          <w:shd w:val="clear" w:color="auto" w:fill="FFFFFF"/>
        </w:rPr>
        <w:t>762</w:t>
      </w:r>
      <w:r>
        <w:rPr>
          <w:rStyle w:val="ab"/>
          <w:rFonts w:ascii="Times New Roman" w:eastAsia="方正仿宋简体" w:hAnsi="Times New Roman"/>
          <w:b w:val="0"/>
          <w:color w:val="000000"/>
          <w:sz w:val="32"/>
          <w:szCs w:val="32"/>
          <w:shd w:val="clear" w:color="auto" w:fill="FFFFFF"/>
        </w:rPr>
        <w:t>号）、《关于促进政府投资基金高质量发展的指导意见》（国办发〔</w:t>
      </w:r>
      <w:r>
        <w:rPr>
          <w:rStyle w:val="ab"/>
          <w:rFonts w:ascii="Times New Roman" w:eastAsia="方正仿宋简体" w:hAnsi="Times New Roman"/>
          <w:b w:val="0"/>
          <w:color w:val="000000"/>
          <w:sz w:val="32"/>
          <w:szCs w:val="32"/>
          <w:shd w:val="clear" w:color="auto" w:fill="FFFFFF"/>
        </w:rPr>
        <w:t>2025</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1</w:t>
      </w:r>
      <w:r>
        <w:rPr>
          <w:rStyle w:val="ab"/>
          <w:rFonts w:ascii="Times New Roman" w:eastAsia="方正仿宋简体" w:hAnsi="Times New Roman"/>
          <w:b w:val="0"/>
          <w:color w:val="000000"/>
          <w:sz w:val="32"/>
          <w:szCs w:val="32"/>
          <w:shd w:val="clear" w:color="auto" w:fill="FFFFFF"/>
        </w:rPr>
        <w:t>号）、《政府投资基金暂行管理办法》（财预〔</w:t>
      </w:r>
      <w:r>
        <w:rPr>
          <w:rStyle w:val="ab"/>
          <w:rFonts w:ascii="Times New Roman" w:eastAsia="方正仿宋简体" w:hAnsi="Times New Roman"/>
          <w:b w:val="0"/>
          <w:color w:val="000000"/>
          <w:sz w:val="32"/>
          <w:szCs w:val="32"/>
          <w:shd w:val="clear" w:color="auto" w:fill="FFFFFF"/>
        </w:rPr>
        <w:t>2015</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210</w:t>
      </w:r>
      <w:r>
        <w:rPr>
          <w:rStyle w:val="ab"/>
          <w:rFonts w:ascii="Times New Roman" w:eastAsia="方正仿宋简体" w:hAnsi="Times New Roman"/>
          <w:b w:val="0"/>
          <w:color w:val="000000"/>
          <w:sz w:val="32"/>
          <w:szCs w:val="32"/>
          <w:shd w:val="clear" w:color="auto" w:fill="FFFFFF"/>
        </w:rPr>
        <w:t>号）、《政府出资产业投资基金管理暂行办法》（发改财金规〔</w:t>
      </w:r>
      <w:r>
        <w:rPr>
          <w:rStyle w:val="ab"/>
          <w:rFonts w:ascii="Times New Roman" w:eastAsia="方正仿宋简体" w:hAnsi="Times New Roman"/>
          <w:b w:val="0"/>
          <w:color w:val="000000"/>
          <w:sz w:val="32"/>
          <w:szCs w:val="32"/>
          <w:shd w:val="clear" w:color="auto" w:fill="FFFFFF"/>
        </w:rPr>
        <w:t>2016</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2800</w:t>
      </w:r>
      <w:r>
        <w:rPr>
          <w:rStyle w:val="ab"/>
          <w:rFonts w:ascii="Times New Roman" w:eastAsia="方正仿宋简体" w:hAnsi="Times New Roman"/>
          <w:b w:val="0"/>
          <w:color w:val="000000"/>
          <w:sz w:val="32"/>
          <w:szCs w:val="32"/>
          <w:shd w:val="clear" w:color="auto" w:fill="FFFFFF"/>
        </w:rPr>
        <w:t>号）、</w:t>
      </w:r>
      <w:r>
        <w:rPr>
          <w:rStyle w:val="ab"/>
          <w:rFonts w:ascii="Times New Roman" w:eastAsia="方正仿宋简体" w:hAnsi="Times New Roman" w:hint="eastAsia"/>
          <w:b w:val="0"/>
          <w:color w:val="000000"/>
          <w:sz w:val="32"/>
          <w:szCs w:val="32"/>
          <w:shd w:val="clear" w:color="auto" w:fill="FFFFFF"/>
        </w:rPr>
        <w:t>《十三师国资委监管企业投资监督管理办法》（师国资发</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20</w:t>
      </w:r>
      <w:r>
        <w:rPr>
          <w:rStyle w:val="ab"/>
          <w:rFonts w:ascii="Times New Roman" w:eastAsia="方正仿宋简体" w:hAnsi="Times New Roman" w:hint="eastAsia"/>
          <w:b w:val="0"/>
          <w:color w:val="000000"/>
          <w:sz w:val="32"/>
          <w:szCs w:val="32"/>
          <w:shd w:val="clear" w:color="auto" w:fill="FFFFFF"/>
        </w:rPr>
        <w:t>21</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hint="eastAsia"/>
          <w:b w:val="0"/>
          <w:color w:val="000000"/>
          <w:sz w:val="32"/>
          <w:szCs w:val="32"/>
          <w:shd w:val="clear" w:color="auto" w:fill="FFFFFF"/>
        </w:rPr>
        <w:t>1</w:t>
      </w:r>
      <w:r>
        <w:rPr>
          <w:rStyle w:val="ab"/>
          <w:rFonts w:ascii="Times New Roman" w:eastAsia="方正仿宋简体" w:hAnsi="Times New Roman" w:hint="eastAsia"/>
          <w:b w:val="0"/>
          <w:color w:val="000000"/>
          <w:sz w:val="32"/>
          <w:szCs w:val="32"/>
          <w:shd w:val="clear" w:color="auto" w:fill="FFFFFF"/>
        </w:rPr>
        <w:t>号）</w:t>
      </w:r>
      <w:r>
        <w:rPr>
          <w:rStyle w:val="ab"/>
          <w:rFonts w:ascii="Times New Roman" w:eastAsia="方正仿宋简体" w:hAnsi="Times New Roman"/>
          <w:b w:val="0"/>
          <w:color w:val="000000"/>
          <w:sz w:val="32"/>
          <w:szCs w:val="32"/>
          <w:shd w:val="clear" w:color="auto" w:fill="FFFFFF"/>
        </w:rPr>
        <w:t>，制定本办法。</w:t>
      </w:r>
    </w:p>
    <w:p w14:paraId="78C933F0"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hint="eastAsia"/>
          <w:b w:val="0"/>
          <w:color w:val="000000"/>
          <w:sz w:val="32"/>
          <w:szCs w:val="32"/>
          <w:shd w:val="clear" w:color="auto" w:fill="FFFFFF"/>
        </w:rPr>
        <w:t>第二条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本办法适用于</w:t>
      </w:r>
      <w:r>
        <w:rPr>
          <w:rStyle w:val="ab"/>
          <w:rFonts w:ascii="Times New Roman" w:eastAsia="方正仿宋简体" w:hAnsi="Times New Roman" w:hint="eastAsia"/>
          <w:b w:val="0"/>
          <w:color w:val="000000"/>
          <w:sz w:val="32"/>
          <w:szCs w:val="32"/>
          <w:shd w:val="clear" w:color="auto" w:fill="FFFFFF"/>
        </w:rPr>
        <w:t>由师市出资设立并按市场化方式运作的政府投资基金、</w:t>
      </w:r>
      <w:r>
        <w:rPr>
          <w:rStyle w:val="ab"/>
          <w:rFonts w:ascii="Times New Roman" w:eastAsia="方正仿宋简体" w:hAnsi="Times New Roman"/>
          <w:b w:val="0"/>
          <w:color w:val="000000"/>
          <w:sz w:val="32"/>
          <w:szCs w:val="32"/>
          <w:shd w:val="clear" w:color="auto" w:fill="FFFFFF"/>
        </w:rPr>
        <w:t>财政局（国资委）监管企业及其</w:t>
      </w:r>
      <w:r>
        <w:rPr>
          <w:rStyle w:val="ab"/>
          <w:rFonts w:ascii="Times New Roman" w:eastAsia="方正仿宋简体" w:hAnsi="Times New Roman" w:hint="eastAsia"/>
          <w:b w:val="0"/>
          <w:color w:val="000000"/>
          <w:sz w:val="32"/>
          <w:szCs w:val="32"/>
          <w:shd w:val="clear" w:color="auto" w:fill="FFFFFF"/>
        </w:rPr>
        <w:t>控股</w:t>
      </w:r>
      <w:r>
        <w:rPr>
          <w:rStyle w:val="ab"/>
          <w:rFonts w:ascii="Times New Roman" w:eastAsia="方正仿宋简体" w:hAnsi="Times New Roman"/>
          <w:b w:val="0"/>
          <w:color w:val="000000"/>
          <w:sz w:val="32"/>
          <w:szCs w:val="32"/>
          <w:shd w:val="clear" w:color="auto" w:fill="FFFFFF"/>
        </w:rPr>
        <w:t>子企业开展的基金业务，包括发起设立或参与投资基金管理公司、基金，以及相关管理活动。</w:t>
      </w:r>
    </w:p>
    <w:p w14:paraId="60F872FF"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财政局（国资委）负责制定企业私募股权投资基金</w:t>
      </w:r>
      <w:r>
        <w:rPr>
          <w:rStyle w:val="ab"/>
          <w:rFonts w:ascii="Times New Roman" w:eastAsia="方正仿宋简体" w:hAnsi="Times New Roman"/>
          <w:b w:val="0"/>
          <w:color w:val="000000"/>
          <w:sz w:val="32"/>
          <w:szCs w:val="32"/>
          <w:shd w:val="clear" w:color="auto" w:fill="FFFFFF"/>
        </w:rPr>
        <w:lastRenderedPageBreak/>
        <w:t>的监督管理制度，督促监管企业建立完善基金管理制度、体系，指导企业优化基金布局，定期进行基金业务的跟踪监测和风险预警，并做好</w:t>
      </w:r>
      <w:r>
        <w:rPr>
          <w:rStyle w:val="ab"/>
          <w:rFonts w:ascii="Times New Roman" w:eastAsia="方正仿宋简体" w:hAnsi="Times New Roman" w:hint="eastAsia"/>
          <w:b w:val="0"/>
          <w:color w:val="000000"/>
          <w:sz w:val="32"/>
          <w:szCs w:val="32"/>
          <w:shd w:val="clear" w:color="auto" w:fill="FFFFFF"/>
        </w:rPr>
        <w:t>审计监督和违规问责等工作</w:t>
      </w:r>
      <w:r>
        <w:rPr>
          <w:rStyle w:val="ab"/>
          <w:rFonts w:ascii="Times New Roman" w:eastAsia="方正仿宋简体" w:hAnsi="Times New Roman"/>
          <w:b w:val="0"/>
          <w:color w:val="000000"/>
          <w:sz w:val="32"/>
          <w:szCs w:val="32"/>
          <w:shd w:val="clear" w:color="auto" w:fill="FFFFFF"/>
        </w:rPr>
        <w:t>。</w:t>
      </w:r>
    </w:p>
    <w:p w14:paraId="7BB70260" w14:textId="657A78B6" w:rsidR="001449C6" w:rsidRDefault="002D410C"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hint="eastAsia"/>
          <w:b w:val="0"/>
          <w:color w:val="000000"/>
          <w:sz w:val="32"/>
          <w:szCs w:val="32"/>
          <w:shd w:val="clear" w:color="auto" w:fill="FFFFFF"/>
        </w:rPr>
        <w:t>师市监管</w:t>
      </w:r>
      <w:r>
        <w:rPr>
          <w:rStyle w:val="ab"/>
          <w:rFonts w:ascii="Times New Roman" w:eastAsia="方正仿宋简体" w:hAnsi="Times New Roman"/>
          <w:b w:val="0"/>
          <w:color w:val="000000"/>
          <w:sz w:val="32"/>
          <w:szCs w:val="32"/>
          <w:shd w:val="clear" w:color="auto" w:fill="FFFFFF"/>
        </w:rPr>
        <w:t>国有企业（以下简称监管企业）是投资基金的决策主体和责任主体，负责建立健全统一的基金管理制度，建立完善投资决策、风险预警监测、风险应对处置和报告等机制，并对实控基金管理公司建立考核评价、激励约束等机制，推动实控基金管理人市场化运作、专业化管理。</w:t>
      </w:r>
    </w:p>
    <w:p w14:paraId="23A408FC"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监管企业实控基金管理公司是</w:t>
      </w:r>
      <w:r>
        <w:rPr>
          <w:rStyle w:val="ab"/>
          <w:rFonts w:ascii="Times New Roman" w:eastAsia="方正仿宋简体" w:hAnsi="Times New Roman" w:hint="eastAsia"/>
          <w:b w:val="0"/>
          <w:color w:val="000000"/>
          <w:sz w:val="32"/>
          <w:szCs w:val="32"/>
          <w:shd w:val="clear" w:color="auto" w:fill="FFFFFF"/>
        </w:rPr>
        <w:t>所管理</w:t>
      </w:r>
      <w:r>
        <w:rPr>
          <w:rStyle w:val="ab"/>
          <w:rFonts w:ascii="Times New Roman" w:eastAsia="方正仿宋简体" w:hAnsi="Times New Roman"/>
          <w:b w:val="0"/>
          <w:color w:val="000000"/>
          <w:sz w:val="32"/>
          <w:szCs w:val="32"/>
          <w:shd w:val="clear" w:color="auto" w:fill="FFFFFF"/>
        </w:rPr>
        <w:t>基金</w:t>
      </w:r>
      <w:r>
        <w:rPr>
          <w:rStyle w:val="ab"/>
          <w:rFonts w:ascii="Times New Roman" w:eastAsia="方正仿宋简体" w:hAnsi="Times New Roman" w:hint="eastAsia"/>
          <w:b w:val="0"/>
          <w:color w:val="000000"/>
          <w:sz w:val="32"/>
          <w:szCs w:val="32"/>
          <w:shd w:val="clear" w:color="auto" w:fill="FFFFFF"/>
        </w:rPr>
        <w:t>产品</w:t>
      </w:r>
      <w:r>
        <w:rPr>
          <w:rStyle w:val="ab"/>
          <w:rFonts w:ascii="Times New Roman" w:eastAsia="方正仿宋简体" w:hAnsi="Times New Roman"/>
          <w:b w:val="0"/>
          <w:color w:val="000000"/>
          <w:sz w:val="32"/>
          <w:szCs w:val="32"/>
          <w:shd w:val="clear" w:color="auto" w:fill="FFFFFF"/>
        </w:rPr>
        <w:t>的决策主体和责任主体，负责按照法律法规、基金章程等，做好基金</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募、投、管、退</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全周期管理。</w:t>
      </w:r>
    </w:p>
    <w:p w14:paraId="56F4E7F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根据功能定位、投资阶段</w:t>
      </w:r>
      <w:r>
        <w:rPr>
          <w:rStyle w:val="ab"/>
          <w:rFonts w:ascii="Times New Roman" w:eastAsia="方正仿宋简体" w:hAnsi="Times New Roman" w:hint="eastAsia"/>
          <w:b w:val="0"/>
          <w:color w:val="000000"/>
          <w:sz w:val="32"/>
          <w:szCs w:val="32"/>
          <w:shd w:val="clear" w:color="auto" w:fill="FFFFFF"/>
        </w:rPr>
        <w:t>、风险偏好</w:t>
      </w:r>
      <w:r>
        <w:rPr>
          <w:rStyle w:val="ab"/>
          <w:rFonts w:ascii="Times New Roman" w:eastAsia="方正仿宋简体" w:hAnsi="Times New Roman"/>
          <w:b w:val="0"/>
          <w:color w:val="000000"/>
          <w:sz w:val="32"/>
          <w:szCs w:val="32"/>
          <w:shd w:val="clear" w:color="auto" w:fill="FFFFFF"/>
        </w:rPr>
        <w:t>不同，基金分为以下几类：</w:t>
      </w:r>
    </w:p>
    <w:p w14:paraId="3D148D9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（一）政府投资基金，是指由师市通过预算安排，以单独出资或与社会资本共同出资设立，采用股权投资等市场化方式，引导社会各类资本投资</w:t>
      </w:r>
      <w:r>
        <w:rPr>
          <w:rStyle w:val="ab"/>
          <w:rFonts w:ascii="Times New Roman" w:eastAsia="方正仿宋简体" w:hAnsi="Times New Roman" w:hint="eastAsia"/>
          <w:b w:val="0"/>
          <w:color w:val="000000"/>
          <w:sz w:val="32"/>
          <w:szCs w:val="32"/>
          <w:shd w:val="clear" w:color="auto" w:fill="FFFFFF"/>
        </w:rPr>
        <w:t>师市</w:t>
      </w:r>
      <w:r>
        <w:rPr>
          <w:rStyle w:val="ab"/>
          <w:rFonts w:ascii="Times New Roman" w:eastAsia="方正仿宋简体" w:hAnsi="Times New Roman"/>
          <w:b w:val="0"/>
          <w:color w:val="000000"/>
          <w:sz w:val="32"/>
          <w:szCs w:val="32"/>
          <w:shd w:val="clear" w:color="auto" w:fill="FFFFFF"/>
        </w:rPr>
        <w:t>经济社会发展的重点领域和薄弱环节，支持相关产业和领域发展的</w:t>
      </w:r>
      <w:r>
        <w:rPr>
          <w:rStyle w:val="ab"/>
          <w:rFonts w:ascii="Times New Roman" w:eastAsia="方正仿宋简体" w:hAnsi="Times New Roman" w:hint="eastAsia"/>
          <w:b w:val="0"/>
          <w:color w:val="000000"/>
          <w:sz w:val="32"/>
          <w:szCs w:val="32"/>
          <w:shd w:val="clear" w:color="auto" w:fill="FFFFFF"/>
        </w:rPr>
        <w:t>基金</w:t>
      </w:r>
      <w:r>
        <w:rPr>
          <w:rStyle w:val="ab"/>
          <w:rFonts w:ascii="Times New Roman" w:eastAsia="方正仿宋简体" w:hAnsi="Times New Roman"/>
          <w:b w:val="0"/>
          <w:color w:val="000000"/>
          <w:sz w:val="32"/>
          <w:szCs w:val="32"/>
          <w:shd w:val="clear" w:color="auto" w:fill="FFFFFF"/>
        </w:rPr>
        <w:t>，包括政府直接出资、政府委托出资、政府以注资国有企业方式出资设立的政府投资基金。</w:t>
      </w:r>
    </w:p>
    <w:p w14:paraId="5C57362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（二）产业投资基金，是指监管企业立足主责主业，投资方向符合企业战略发展规划，围绕产业链上下游开展投资，助推科技创新、服务主业发展、进行专业化整合、支持</w:t>
      </w:r>
      <w:r>
        <w:rPr>
          <w:rStyle w:val="ab"/>
          <w:rFonts w:ascii="Times New Roman" w:eastAsia="方正仿宋简体" w:hAnsi="Times New Roman" w:hint="eastAsia"/>
          <w:b w:val="0"/>
          <w:color w:val="000000"/>
          <w:sz w:val="32"/>
          <w:szCs w:val="32"/>
          <w:shd w:val="clear" w:color="auto" w:fill="FFFFFF"/>
        </w:rPr>
        <w:t>师市</w:t>
      </w:r>
      <w:r>
        <w:rPr>
          <w:rStyle w:val="ab"/>
          <w:rFonts w:ascii="Times New Roman" w:eastAsia="方正仿宋简体" w:hAnsi="Times New Roman"/>
          <w:b w:val="0"/>
          <w:color w:val="000000"/>
          <w:sz w:val="32"/>
          <w:szCs w:val="32"/>
          <w:shd w:val="clear" w:color="auto" w:fill="FFFFFF"/>
        </w:rPr>
        <w:t>现代化产业体系布局的基金。</w:t>
      </w:r>
    </w:p>
    <w:p w14:paraId="4D53D96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lastRenderedPageBreak/>
        <w:t>（三）财务投资基金，是指由监管企业自主决策，主要投资方向与监管企业主业无关，以获取投资收益为主要投资目的的基金。</w:t>
      </w:r>
    </w:p>
    <w:p w14:paraId="7AECA27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第五条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监管企业应发挥企业资金的杠杆放大效应，引导社会资本</w:t>
      </w:r>
      <w:r>
        <w:rPr>
          <w:rStyle w:val="ab"/>
          <w:rFonts w:ascii="Times New Roman" w:eastAsia="方正仿宋简体" w:hAnsi="Times New Roman" w:hint="eastAsia"/>
          <w:b w:val="0"/>
          <w:color w:val="000000"/>
          <w:sz w:val="32"/>
          <w:szCs w:val="32"/>
          <w:shd w:val="clear" w:color="auto" w:fill="FFFFFF"/>
        </w:rPr>
        <w:t>重点支持师市绿色化工、新型冶金和综合能源三大主导产业，以及装备制造、现代物流、新兴算力、绿色氢能、文化旅游、新型建材、农牧循环产业等产业和领域，支持战略性新兴产业的扶持培育、传统产业的转型升级、重点产业的招商引资、优势产业的做大做强，优先扶持师市重点产业链，发展壮大特色优势产业。</w:t>
      </w:r>
    </w:p>
    <w:p w14:paraId="75C674F6"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b w:val="0"/>
          <w:color w:val="000000"/>
          <w:sz w:val="32"/>
          <w:szCs w:val="32"/>
          <w:shd w:val="clear" w:color="auto" w:fill="FFFFFF"/>
        </w:rPr>
      </w:pPr>
    </w:p>
    <w:p w14:paraId="1B019992"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1" w:name="_Toc203415197"/>
      <w:r>
        <w:rPr>
          <w:rStyle w:val="ab"/>
          <w:rFonts w:ascii="方正黑体简体" w:eastAsia="方正黑体简体" w:hAnsi="Times New Roman"/>
          <w:b w:val="0"/>
          <w:color w:val="000000"/>
          <w:sz w:val="32"/>
          <w:szCs w:val="32"/>
          <w:shd w:val="clear" w:color="auto" w:fill="FFFFFF"/>
        </w:rPr>
        <w:t>第二章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政府投资基金设立</w:t>
      </w:r>
      <w:bookmarkEnd w:id="1"/>
    </w:p>
    <w:p w14:paraId="6654AF16"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第六条</w:t>
      </w:r>
      <w:r>
        <w:rPr>
          <w:rStyle w:val="ab"/>
          <w:rFonts w:ascii="Times New Roman" w:eastAsia="方正仿宋简体" w:hAnsi="Times New Roman" w:cs="Times New Roman"/>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政府投资基金主要支持外部性强，基础性、带动性、战略性特征明显的产业领域及中小企业创业成长，重点服务于师市重大决策，围绕产业转型升级、国资国企深化改革和供给侧结构性改革等</w:t>
      </w:r>
      <w:r>
        <w:rPr>
          <w:rStyle w:val="ab"/>
          <w:rFonts w:ascii="Times New Roman" w:eastAsia="方正仿宋简体" w:hAnsi="Times New Roman" w:cs="Times New Roman" w:hint="eastAsia"/>
          <w:b w:val="0"/>
          <w:color w:val="000000"/>
          <w:sz w:val="32"/>
          <w:szCs w:val="32"/>
          <w:shd w:val="clear" w:color="auto" w:fill="FFFFFF"/>
        </w:rPr>
        <w:t>方面</w:t>
      </w:r>
      <w:r>
        <w:rPr>
          <w:rStyle w:val="ab"/>
          <w:rFonts w:ascii="Times New Roman" w:eastAsia="方正仿宋简体" w:hAnsi="Times New Roman" w:cs="Times New Roman"/>
          <w:b w:val="0"/>
          <w:color w:val="000000"/>
          <w:sz w:val="32"/>
          <w:szCs w:val="32"/>
          <w:shd w:val="clear" w:color="auto" w:fill="FFFFFF"/>
        </w:rPr>
        <w:t>开展基金运作，</w:t>
      </w:r>
      <w:r>
        <w:rPr>
          <w:rStyle w:val="ab"/>
          <w:rFonts w:ascii="Times New Roman" w:eastAsia="方正仿宋简体" w:hAnsi="Times New Roman" w:cs="Times New Roman" w:hint="eastAsia"/>
          <w:b w:val="0"/>
          <w:color w:val="000000"/>
          <w:sz w:val="32"/>
          <w:szCs w:val="32"/>
          <w:shd w:val="clear" w:color="auto" w:fill="FFFFFF"/>
        </w:rPr>
        <w:t>同时应</w:t>
      </w:r>
      <w:r>
        <w:rPr>
          <w:rStyle w:val="ab"/>
          <w:rFonts w:ascii="Times New Roman" w:eastAsia="方正仿宋简体" w:hAnsi="Times New Roman" w:cs="Times New Roman"/>
          <w:b w:val="0"/>
          <w:color w:val="000000"/>
          <w:sz w:val="32"/>
          <w:szCs w:val="32"/>
          <w:shd w:val="clear" w:color="auto" w:fill="FFFFFF"/>
        </w:rPr>
        <w:t>充分考虑财政承受能力，合理确定基金规模和投资范围。一般应在以下领域设立政府投资基金：</w:t>
      </w:r>
    </w:p>
    <w:p w14:paraId="69D0E3A8"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（一）支持创新创业；</w:t>
      </w:r>
    </w:p>
    <w:p w14:paraId="00CDBCBE"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（二）支持中小企业发展；</w:t>
      </w:r>
    </w:p>
    <w:p w14:paraId="229C9870"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（三）支持产业转型升级和发展；</w:t>
      </w:r>
    </w:p>
    <w:p w14:paraId="1086D2FA"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（四）支持基础设施和公共服务领域。</w:t>
      </w:r>
    </w:p>
    <w:p w14:paraId="4D8FE11D"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lastRenderedPageBreak/>
        <w:t>第七条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政府投资基金按照部门提议、科学论证、政府决策的程序设立。</w:t>
      </w:r>
    </w:p>
    <w:p w14:paraId="3D46CF89"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（一）部门提议。</w:t>
      </w:r>
      <w:r>
        <w:rPr>
          <w:rStyle w:val="ab"/>
          <w:rFonts w:ascii="Times New Roman" w:eastAsia="方正仿宋简体" w:hAnsi="Times New Roman" w:cs="Times New Roman" w:hint="eastAsia"/>
          <w:b w:val="0"/>
          <w:color w:val="000000"/>
          <w:sz w:val="32"/>
          <w:szCs w:val="32"/>
          <w:shd w:val="clear" w:color="auto" w:fill="FFFFFF"/>
        </w:rPr>
        <w:t>师市</w:t>
      </w:r>
      <w:r>
        <w:rPr>
          <w:rStyle w:val="ab"/>
          <w:rFonts w:ascii="Times New Roman" w:eastAsia="方正仿宋简体" w:hAnsi="Times New Roman" w:cs="Times New Roman"/>
          <w:b w:val="0"/>
          <w:color w:val="000000"/>
          <w:sz w:val="32"/>
          <w:szCs w:val="32"/>
          <w:shd w:val="clear" w:color="auto" w:fill="FFFFFF"/>
        </w:rPr>
        <w:t>财政部门或有关行业部门提出基金发起设立建议，组织开展可行性调研并提交报告。报告内容包括但不限于基金设立目标、必要性和可行性，基金拟投领域的行业现状、发展前景、项目储备，以及基金规模、存续期限、投资要求等基金核心要素的设定依据。</w:t>
      </w:r>
    </w:p>
    <w:p w14:paraId="7D02703A" w14:textId="6567216D"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（二）科学论证。财政部门或财政部门会同有关行业部门对基金发起设立建议开展研究论证，</w:t>
      </w:r>
      <w:r>
        <w:rPr>
          <w:rStyle w:val="ab"/>
          <w:rFonts w:ascii="Times New Roman" w:eastAsia="方正仿宋简体" w:hAnsi="Times New Roman" w:cs="Times New Roman" w:hint="eastAsia"/>
          <w:b w:val="0"/>
          <w:color w:val="000000"/>
          <w:sz w:val="32"/>
          <w:szCs w:val="32"/>
          <w:shd w:val="clear" w:color="auto" w:fill="FFFFFF"/>
        </w:rPr>
        <w:t>结合相关产业在全国各地区产能利用</w:t>
      </w:r>
      <w:r w:rsidRPr="0049485D">
        <w:rPr>
          <w:rStyle w:val="ab"/>
          <w:rFonts w:ascii="Times New Roman" w:eastAsia="方正仿宋简体" w:hAnsi="Times New Roman" w:cs="Times New Roman" w:hint="eastAsia"/>
          <w:b w:val="0"/>
          <w:color w:val="000000"/>
          <w:sz w:val="32"/>
          <w:szCs w:val="32"/>
          <w:shd w:val="clear" w:color="auto" w:fill="FFFFFF"/>
        </w:rPr>
        <w:t>情况，</w:t>
      </w:r>
      <w:r w:rsidR="0049485D" w:rsidRPr="0049485D">
        <w:rPr>
          <w:rStyle w:val="ab"/>
          <w:rFonts w:ascii="Times New Roman" w:eastAsia="方正仿宋简体" w:hAnsi="Times New Roman" w:cs="Times New Roman" w:hint="eastAsia"/>
          <w:b w:val="0"/>
          <w:color w:val="000000"/>
          <w:sz w:val="32"/>
          <w:szCs w:val="32"/>
          <w:shd w:val="clear" w:color="auto" w:fill="FFFFFF"/>
        </w:rPr>
        <w:t>围绕师市</w:t>
      </w:r>
      <w:r w:rsidRPr="0049485D">
        <w:rPr>
          <w:rStyle w:val="ab"/>
          <w:rFonts w:ascii="Times New Roman" w:eastAsia="方正仿宋简体" w:hAnsi="Times New Roman" w:cs="Times New Roman" w:hint="eastAsia"/>
          <w:b w:val="0"/>
          <w:color w:val="000000"/>
          <w:sz w:val="32"/>
          <w:szCs w:val="32"/>
          <w:shd w:val="clear" w:color="auto" w:fill="FFFFFF"/>
        </w:rPr>
        <w:t>产业发展实际确定政府投资基金布局，防止产能过剩和低水平重复建设。</w:t>
      </w:r>
      <w:r w:rsidRPr="0049485D">
        <w:rPr>
          <w:rStyle w:val="ab"/>
          <w:rFonts w:ascii="Times New Roman" w:eastAsia="方正仿宋简体" w:hAnsi="Times New Roman" w:cs="Times New Roman"/>
          <w:b w:val="0"/>
          <w:color w:val="000000"/>
          <w:sz w:val="32"/>
          <w:szCs w:val="32"/>
          <w:shd w:val="clear" w:color="auto" w:fill="FFFFFF"/>
        </w:rPr>
        <w:t>必要时可邀请有关专家参与讨论，确定基金设立的必要性。</w:t>
      </w:r>
    </w:p>
    <w:p w14:paraId="5355203E"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（三）政府决策。财政部门或财政部门会同有关行业部门制定基金设立方案，报请同级政府或其授权决策机构批准。</w:t>
      </w:r>
    </w:p>
    <w:p w14:paraId="56CEF2EA"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第八条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基金设立方案应明确基金设立目标、基金规模、出资结构、运作模式、存续期限、组织形式、投资领域、投资区域等事项。重大事项调整应及时报同级政府或其授权机构批准。</w:t>
      </w:r>
    </w:p>
    <w:p w14:paraId="44E220BB"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（一）基金规模应与投资领域的产业发展实际相匹配，首期规模应和储备项目规模相匹配。政府出资应与财力实际相匹配。</w:t>
      </w:r>
    </w:p>
    <w:p w14:paraId="169ABC97"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（二）政府投资基金应充分发挥政府出资杠杆作用，积极带动社会资本投入。政府出资应根据不同基金类型区别设置出资</w:t>
      </w:r>
      <w:r>
        <w:rPr>
          <w:rStyle w:val="ab"/>
          <w:rFonts w:ascii="Times New Roman" w:eastAsia="方正仿宋简体" w:hAnsi="Times New Roman" w:cs="Times New Roman"/>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比例。</w:t>
      </w:r>
    </w:p>
    <w:p w14:paraId="0392AF19" w14:textId="15E94FCD"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lastRenderedPageBreak/>
        <w:t>（三）政府投资基金可采取</w:t>
      </w:r>
      <w:r>
        <w:rPr>
          <w:rStyle w:val="ab"/>
          <w:rFonts w:ascii="Times New Roman" w:eastAsia="方正仿宋简体" w:hAnsi="Times New Roman" w:cs="Times New Roman"/>
          <w:b w:val="0"/>
          <w:color w:val="000000"/>
          <w:sz w:val="32"/>
          <w:szCs w:val="32"/>
          <w:shd w:val="clear" w:color="auto" w:fill="FFFFFF"/>
        </w:rPr>
        <w:t>“</w:t>
      </w:r>
      <w:r>
        <w:rPr>
          <w:rStyle w:val="ab"/>
          <w:rFonts w:ascii="Times New Roman" w:eastAsia="方正仿宋简体" w:hAnsi="Times New Roman" w:cs="Times New Roman"/>
          <w:b w:val="0"/>
          <w:color w:val="000000"/>
          <w:sz w:val="32"/>
          <w:szCs w:val="32"/>
          <w:shd w:val="clear" w:color="auto" w:fill="FFFFFF"/>
        </w:rPr>
        <w:t>直接投资</w:t>
      </w:r>
      <w:r>
        <w:rPr>
          <w:rStyle w:val="ab"/>
          <w:rFonts w:ascii="Times New Roman" w:eastAsia="方正仿宋简体" w:hAnsi="Times New Roman" w:cs="Times New Roman"/>
          <w:b w:val="0"/>
          <w:color w:val="000000"/>
          <w:sz w:val="32"/>
          <w:szCs w:val="32"/>
          <w:shd w:val="clear" w:color="auto" w:fill="FFFFFF"/>
        </w:rPr>
        <w:t>”</w:t>
      </w:r>
      <w:r>
        <w:rPr>
          <w:rStyle w:val="ab"/>
          <w:rFonts w:ascii="Times New Roman" w:eastAsia="方正仿宋简体" w:hAnsi="Times New Roman" w:cs="Times New Roman"/>
          <w:b w:val="0"/>
          <w:color w:val="000000"/>
          <w:sz w:val="32"/>
          <w:szCs w:val="32"/>
          <w:shd w:val="clear" w:color="auto" w:fill="FFFFFF"/>
        </w:rPr>
        <w:t>模式、</w:t>
      </w:r>
      <w:r>
        <w:rPr>
          <w:rStyle w:val="ab"/>
          <w:rFonts w:ascii="Times New Roman" w:eastAsia="方正仿宋简体" w:hAnsi="Times New Roman" w:cs="Times New Roman"/>
          <w:b w:val="0"/>
          <w:color w:val="000000"/>
          <w:sz w:val="32"/>
          <w:szCs w:val="32"/>
          <w:shd w:val="clear" w:color="auto" w:fill="FFFFFF"/>
        </w:rPr>
        <w:t>“</w:t>
      </w:r>
      <w:r>
        <w:rPr>
          <w:rStyle w:val="ab"/>
          <w:rFonts w:ascii="Times New Roman" w:eastAsia="方正仿宋简体" w:hAnsi="Times New Roman" w:cs="Times New Roman"/>
          <w:b w:val="0"/>
          <w:color w:val="000000"/>
          <w:sz w:val="32"/>
          <w:szCs w:val="32"/>
          <w:shd w:val="clear" w:color="auto" w:fill="FFFFFF"/>
        </w:rPr>
        <w:t>母子基金</w:t>
      </w:r>
      <w:r>
        <w:rPr>
          <w:rStyle w:val="ab"/>
          <w:rFonts w:ascii="Times New Roman" w:eastAsia="方正仿宋简体" w:hAnsi="Times New Roman" w:cs="Times New Roman"/>
          <w:b w:val="0"/>
          <w:color w:val="000000"/>
          <w:sz w:val="32"/>
          <w:szCs w:val="32"/>
          <w:shd w:val="clear" w:color="auto" w:fill="FFFFFF"/>
        </w:rPr>
        <w:t>”</w:t>
      </w:r>
      <w:r>
        <w:rPr>
          <w:rStyle w:val="ab"/>
          <w:rFonts w:ascii="Times New Roman" w:eastAsia="方正仿宋简体" w:hAnsi="Times New Roman" w:cs="Times New Roman"/>
          <w:b w:val="0"/>
          <w:color w:val="000000"/>
          <w:sz w:val="32"/>
          <w:szCs w:val="32"/>
          <w:shd w:val="clear" w:color="auto" w:fill="FFFFFF"/>
        </w:rPr>
        <w:t>模式，</w:t>
      </w:r>
      <w:r w:rsidRPr="0049485D">
        <w:rPr>
          <w:rStyle w:val="ab"/>
          <w:rFonts w:ascii="Times New Roman" w:eastAsia="方正仿宋简体" w:hAnsi="Times New Roman" w:cs="Times New Roman"/>
          <w:b w:val="0"/>
          <w:color w:val="000000"/>
          <w:sz w:val="32"/>
          <w:szCs w:val="32"/>
          <w:shd w:val="clear" w:color="auto" w:fill="FFFFFF"/>
        </w:rPr>
        <w:t>也可同时采取上述两种模式运作。</w:t>
      </w:r>
      <w:r w:rsidRPr="0049485D">
        <w:rPr>
          <w:rStyle w:val="ab"/>
          <w:rFonts w:ascii="Times New Roman" w:eastAsia="方正仿宋简体" w:hAnsi="Times New Roman" w:cs="Times New Roman"/>
          <w:b w:val="0"/>
          <w:color w:val="000000"/>
          <w:sz w:val="32"/>
          <w:szCs w:val="32"/>
          <w:shd w:val="clear" w:color="auto" w:fill="FFFFFF"/>
        </w:rPr>
        <w:t>“</w:t>
      </w:r>
      <w:r w:rsidRPr="0049485D">
        <w:rPr>
          <w:rStyle w:val="ab"/>
          <w:rFonts w:ascii="Times New Roman" w:eastAsia="方正仿宋简体" w:hAnsi="Times New Roman" w:cs="Times New Roman"/>
          <w:b w:val="0"/>
          <w:color w:val="000000"/>
          <w:sz w:val="32"/>
          <w:szCs w:val="32"/>
          <w:shd w:val="clear" w:color="auto" w:fill="FFFFFF"/>
        </w:rPr>
        <w:t>直接投资</w:t>
      </w:r>
      <w:r w:rsidRPr="0049485D">
        <w:rPr>
          <w:rStyle w:val="ab"/>
          <w:rFonts w:ascii="Times New Roman" w:eastAsia="方正仿宋简体" w:hAnsi="Times New Roman" w:cs="Times New Roman"/>
          <w:b w:val="0"/>
          <w:color w:val="000000"/>
          <w:sz w:val="32"/>
          <w:szCs w:val="32"/>
          <w:shd w:val="clear" w:color="auto" w:fill="FFFFFF"/>
        </w:rPr>
        <w:t>”</w:t>
      </w:r>
      <w:r w:rsidRPr="0049485D">
        <w:rPr>
          <w:rStyle w:val="ab"/>
          <w:rFonts w:ascii="Times New Roman" w:eastAsia="方正仿宋简体" w:hAnsi="Times New Roman" w:cs="Times New Roman"/>
          <w:b w:val="0"/>
          <w:color w:val="000000"/>
          <w:sz w:val="32"/>
          <w:szCs w:val="32"/>
          <w:shd w:val="clear" w:color="auto" w:fill="FFFFFF"/>
        </w:rPr>
        <w:t>模式，根据不同类别的投资对象，可以以股权和优先股、可转换优先股、可转换债券等方式对未上市企业进行投资，或参与上市公司并购重组、定向增发、战略配售、协议转让和大宗交易等进行股权投资。</w:t>
      </w:r>
      <w:r w:rsidRPr="0049485D">
        <w:rPr>
          <w:rStyle w:val="ab"/>
          <w:rFonts w:ascii="Times New Roman" w:eastAsia="方正仿宋简体" w:hAnsi="Times New Roman" w:cs="Times New Roman"/>
          <w:b w:val="0"/>
          <w:color w:val="000000"/>
          <w:sz w:val="32"/>
          <w:szCs w:val="32"/>
          <w:shd w:val="clear" w:color="auto" w:fill="FFFFFF"/>
        </w:rPr>
        <w:t>“</w:t>
      </w:r>
      <w:r w:rsidRPr="0049485D">
        <w:rPr>
          <w:rStyle w:val="ab"/>
          <w:rFonts w:ascii="Times New Roman" w:eastAsia="方正仿宋简体" w:hAnsi="Times New Roman" w:cs="Times New Roman"/>
          <w:b w:val="0"/>
          <w:color w:val="000000"/>
          <w:sz w:val="32"/>
          <w:szCs w:val="32"/>
          <w:shd w:val="clear" w:color="auto" w:fill="FFFFFF"/>
        </w:rPr>
        <w:t>母子基金</w:t>
      </w:r>
      <w:r w:rsidRPr="0049485D">
        <w:rPr>
          <w:rStyle w:val="ab"/>
          <w:rFonts w:ascii="Times New Roman" w:eastAsia="方正仿宋简体" w:hAnsi="Times New Roman" w:cs="Times New Roman"/>
          <w:b w:val="0"/>
          <w:color w:val="000000"/>
          <w:sz w:val="32"/>
          <w:szCs w:val="32"/>
          <w:shd w:val="clear" w:color="auto" w:fill="FFFFFF"/>
        </w:rPr>
        <w:t>”</w:t>
      </w:r>
      <w:r w:rsidRPr="0049485D">
        <w:rPr>
          <w:rStyle w:val="ab"/>
          <w:rFonts w:ascii="Times New Roman" w:eastAsia="方正仿宋简体" w:hAnsi="Times New Roman" w:cs="Times New Roman"/>
          <w:b w:val="0"/>
          <w:color w:val="000000"/>
          <w:sz w:val="32"/>
          <w:szCs w:val="32"/>
          <w:shd w:val="clear" w:color="auto" w:fill="FFFFFF"/>
        </w:rPr>
        <w:t>模式，政府投资基金作为母基金，与各级财政资金、社会资本等合作新设基金，或出资参与现有基金的投资模式。</w:t>
      </w:r>
    </w:p>
    <w:p w14:paraId="3D3B7009" w14:textId="676D3126"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Times New Roman" w:eastAsia="方正仿宋简体" w:hAnsi="Times New Roman" w:cs="Times New Roman"/>
          <w:b w:val="0"/>
          <w:color w:val="000000"/>
          <w:sz w:val="32"/>
          <w:szCs w:val="32"/>
          <w:shd w:val="clear" w:color="auto" w:fill="FFFFFF"/>
        </w:rPr>
        <w:t>（四）政府投资基金存续期限可结合产业发展规律和企业</w:t>
      </w:r>
      <w:r>
        <w:rPr>
          <w:rStyle w:val="ab"/>
          <w:rFonts w:ascii="Times New Roman" w:eastAsia="方正仿宋简体" w:hAnsi="Times New Roman" w:cs="Times New Roman"/>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生命周期特点灵活设置。母基金存续期限一般不超过</w:t>
      </w:r>
      <w:r>
        <w:rPr>
          <w:rStyle w:val="ab"/>
          <w:rFonts w:ascii="Times New Roman" w:eastAsia="方正仿宋简体" w:hAnsi="Times New Roman" w:cs="Times New Roman"/>
          <w:b w:val="0"/>
          <w:color w:val="000000"/>
          <w:sz w:val="32"/>
          <w:szCs w:val="32"/>
          <w:shd w:val="clear" w:color="auto" w:fill="FFFFFF"/>
        </w:rPr>
        <w:t>15</w:t>
      </w:r>
      <w:r>
        <w:rPr>
          <w:rStyle w:val="ab"/>
          <w:rFonts w:ascii="Times New Roman" w:eastAsia="方正仿宋简体" w:hAnsi="Times New Roman" w:cs="Times New Roman"/>
          <w:b w:val="0"/>
          <w:color w:val="000000"/>
          <w:sz w:val="32"/>
          <w:szCs w:val="32"/>
          <w:shd w:val="clear" w:color="auto" w:fill="FFFFFF"/>
        </w:rPr>
        <w:t>年，采用直接投资模式的基金、子基金存续期限一般为</w:t>
      </w:r>
      <w:r>
        <w:rPr>
          <w:rStyle w:val="ab"/>
          <w:rFonts w:ascii="Times New Roman" w:eastAsia="方正仿宋简体" w:hAnsi="Times New Roman" w:cs="Times New Roman"/>
          <w:b w:val="0"/>
          <w:color w:val="000000"/>
          <w:sz w:val="32"/>
          <w:szCs w:val="32"/>
          <w:shd w:val="clear" w:color="auto" w:fill="FFFFFF"/>
        </w:rPr>
        <w:t>7</w:t>
      </w:r>
      <w:r>
        <w:rPr>
          <w:rStyle w:val="ab"/>
          <w:rFonts w:ascii="Times New Roman" w:eastAsia="方正仿宋简体" w:hAnsi="Times New Roman" w:cs="Times New Roman"/>
          <w:b w:val="0"/>
          <w:color w:val="000000"/>
          <w:sz w:val="32"/>
          <w:szCs w:val="32"/>
          <w:shd w:val="clear" w:color="auto" w:fill="FFFFFF"/>
        </w:rPr>
        <w:t>年，其中天使类、创投类采取直接投资模式的基金、子基金存续期限可适当延长，子基金存续期到期日不得晚于母基金最后到期日。母基金可以不设投资期和退出期，采用直接投资模式的基金、子基金原则上应明确投资期和退出期。</w:t>
      </w:r>
    </w:p>
    <w:p w14:paraId="037F79F6"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第九条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政府投资基金中政府出资部分由财政部门或受托管理机构进行出资，社会资本出资部分由基金管理机构面向合格投资者募集。政府投资基金向社会募集资本时，应当对社会资本投资者的合格投资者资格、风险识别与风险承受能力进行评估，以确保社会资本投资者符合合格投资者的标准。</w:t>
      </w:r>
    </w:p>
    <w:p w14:paraId="6F2BCD2A" w14:textId="69AC7813"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第十条</w:t>
      </w:r>
      <w:r>
        <w:rPr>
          <w:rStyle w:val="ab"/>
          <w:rFonts w:ascii="方正黑体简体" w:eastAsia="方正黑体简体" w:hAnsi="Times New Roman" w:cs="Times New Roman" w:hint="eastAsia"/>
          <w:b w:val="0"/>
          <w:color w:val="000000"/>
          <w:kern w:val="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受托管理机构根据基金设立方案拟定基金运营方案报财政部门备案，运营方案主要包括以下内容：遴选基金管理</w:t>
      </w:r>
      <w:r>
        <w:rPr>
          <w:rStyle w:val="ab"/>
          <w:rFonts w:ascii="Times New Roman" w:eastAsia="方正仿宋简体" w:hAnsi="Times New Roman" w:cs="Times New Roman"/>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机构、出资人及出资比例、收益分配、投资流程和决策机制、退</w:t>
      </w:r>
      <w:r>
        <w:rPr>
          <w:rStyle w:val="ab"/>
          <w:rFonts w:ascii="Times New Roman" w:eastAsia="方正仿宋简体" w:hAnsi="Times New Roman" w:cs="Times New Roman"/>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lastRenderedPageBreak/>
        <w:t>出程序等。督促</w:t>
      </w:r>
      <w:r>
        <w:rPr>
          <w:rStyle w:val="ab"/>
          <w:rFonts w:ascii="Times New Roman" w:eastAsia="方正仿宋简体" w:hAnsi="Times New Roman" w:cs="Times New Roman" w:hint="eastAsia"/>
          <w:b w:val="0"/>
          <w:color w:val="000000"/>
          <w:sz w:val="32"/>
          <w:szCs w:val="32"/>
          <w:shd w:val="clear" w:color="auto" w:fill="FFFFFF"/>
        </w:rPr>
        <w:t>基金管理机构</w:t>
      </w:r>
      <w:r>
        <w:rPr>
          <w:rStyle w:val="ab"/>
          <w:rFonts w:ascii="Times New Roman" w:eastAsia="方正仿宋简体" w:hAnsi="Times New Roman" w:cs="Times New Roman"/>
          <w:b w:val="0"/>
          <w:color w:val="000000"/>
          <w:sz w:val="32"/>
          <w:szCs w:val="32"/>
          <w:shd w:val="clear" w:color="auto" w:fill="FFFFFF"/>
        </w:rPr>
        <w:t>做好基金年度财务审计和对基金管理机构的考核评价，定期向财政部门报送基金运作情况。</w:t>
      </w:r>
      <w:r>
        <w:rPr>
          <w:rStyle w:val="ab"/>
          <w:rFonts w:ascii="Times New Roman" w:eastAsia="方正仿宋简体" w:hAnsi="Times New Roman" w:cs="Times New Roman" w:hint="eastAsia"/>
          <w:b w:val="0"/>
          <w:color w:val="000000"/>
          <w:sz w:val="32"/>
          <w:szCs w:val="32"/>
          <w:shd w:val="clear" w:color="auto" w:fill="FFFFFF"/>
        </w:rPr>
        <w:t>受托管理机构需按照要求向财政部门报送基金运作情况简报，每年出具详细的基金运营报告，运营报告应包含基金投资进度、资金使用效率、投资收益、风险状况等核心指标。</w:t>
      </w:r>
      <w:r>
        <w:rPr>
          <w:rStyle w:val="ab"/>
          <w:rFonts w:ascii="Times New Roman" w:eastAsia="方正仿宋简体" w:hAnsi="Times New Roman" w:cs="Times New Roman"/>
          <w:b w:val="0"/>
          <w:color w:val="000000"/>
          <w:sz w:val="32"/>
          <w:szCs w:val="32"/>
          <w:shd w:val="clear" w:color="auto" w:fill="FFFFFF"/>
        </w:rPr>
        <w:t>受托管理机构不</w:t>
      </w:r>
      <w:r>
        <w:rPr>
          <w:rStyle w:val="ab"/>
          <w:rFonts w:ascii="Times New Roman" w:eastAsia="方正仿宋简体" w:hAnsi="Times New Roman" w:cs="Times New Roman" w:hint="eastAsia"/>
          <w:b w:val="0"/>
          <w:color w:val="000000"/>
          <w:sz w:val="32"/>
          <w:szCs w:val="32"/>
          <w:shd w:val="clear" w:color="auto" w:fill="FFFFFF"/>
        </w:rPr>
        <w:t>干</w:t>
      </w:r>
      <w:r>
        <w:rPr>
          <w:rStyle w:val="ab"/>
          <w:rFonts w:ascii="Times New Roman" w:eastAsia="方正仿宋简体" w:hAnsi="Times New Roman" w:cs="Times New Roman"/>
          <w:b w:val="0"/>
          <w:color w:val="000000"/>
          <w:sz w:val="32"/>
          <w:szCs w:val="32"/>
          <w:shd w:val="clear" w:color="auto" w:fill="FFFFFF"/>
        </w:rPr>
        <w:t>预基金的日常经营和管理。</w:t>
      </w:r>
    </w:p>
    <w:p w14:paraId="35EA3217" w14:textId="5375DCB0"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第十一条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基金管理机构负责政府投资基金的募集、设立、备案、投资、管理、退出等工作，具体包括拟定基金公司章程、合伙协议、合同等章程性文件（以下简称</w:t>
      </w:r>
      <w:r>
        <w:rPr>
          <w:rStyle w:val="ab"/>
          <w:rFonts w:ascii="Times New Roman" w:eastAsia="方正仿宋简体" w:hAnsi="Times New Roman" w:cs="Times New Roman"/>
          <w:b w:val="0"/>
          <w:color w:val="000000"/>
          <w:sz w:val="32"/>
          <w:szCs w:val="32"/>
          <w:shd w:val="clear" w:color="auto" w:fill="FFFFFF"/>
        </w:rPr>
        <w:t>“</w:t>
      </w:r>
      <w:r>
        <w:rPr>
          <w:rStyle w:val="ab"/>
          <w:rFonts w:ascii="Times New Roman" w:eastAsia="方正仿宋简体" w:hAnsi="Times New Roman" w:cs="Times New Roman"/>
          <w:b w:val="0"/>
          <w:color w:val="000000"/>
          <w:sz w:val="32"/>
          <w:szCs w:val="32"/>
          <w:shd w:val="clear" w:color="auto" w:fill="FFFFFF"/>
        </w:rPr>
        <w:t>章程</w:t>
      </w:r>
      <w:r>
        <w:rPr>
          <w:rStyle w:val="ab"/>
          <w:rFonts w:ascii="Times New Roman" w:eastAsia="方正仿宋简体" w:hAnsi="Times New Roman" w:cs="Times New Roman" w:hint="eastAsia"/>
          <w:b w:val="0"/>
          <w:color w:val="000000"/>
          <w:sz w:val="32"/>
          <w:szCs w:val="32"/>
          <w:shd w:val="clear" w:color="auto" w:fill="FFFFFF"/>
        </w:rPr>
        <w:t>”）</w:t>
      </w:r>
      <w:r>
        <w:rPr>
          <w:rStyle w:val="ab"/>
          <w:rFonts w:ascii="Times New Roman" w:eastAsia="方正仿宋简体" w:hAnsi="Times New Roman" w:cs="Times New Roman"/>
          <w:b w:val="0"/>
          <w:color w:val="000000"/>
          <w:sz w:val="32"/>
          <w:szCs w:val="32"/>
          <w:shd w:val="clear" w:color="auto" w:fill="FFFFFF"/>
        </w:rPr>
        <w:t>、进行项目立项、尽职调</w:t>
      </w:r>
      <w:r w:rsidRPr="001B5D0B">
        <w:rPr>
          <w:rStyle w:val="ab"/>
          <w:rFonts w:ascii="Times New Roman" w:eastAsia="方正仿宋简体" w:hAnsi="Times New Roman" w:cs="Times New Roman"/>
          <w:b w:val="0"/>
          <w:color w:val="000000"/>
          <w:sz w:val="32"/>
          <w:szCs w:val="32"/>
          <w:shd w:val="clear" w:color="auto" w:fill="FFFFFF"/>
        </w:rPr>
        <w:t>查、投资谈判、风险评估，实施项目投资，做好投后管理、项目退出和基金清算等工作。定期向受托管理机构报送基金运作情况，</w:t>
      </w:r>
      <w:r w:rsidR="00C94D65" w:rsidRPr="001B5D0B">
        <w:rPr>
          <w:rStyle w:val="ab"/>
          <w:rFonts w:ascii="Times New Roman" w:eastAsia="方正仿宋简体" w:hAnsi="Times New Roman" w:cs="Times New Roman"/>
          <w:b w:val="0"/>
          <w:color w:val="000000"/>
          <w:sz w:val="32"/>
          <w:szCs w:val="32"/>
          <w:shd w:val="clear" w:color="auto" w:fill="FFFFFF"/>
        </w:rPr>
        <w:t>及时将投资项目报受托管理机构备案</w:t>
      </w:r>
      <w:r w:rsidR="00C94D65" w:rsidRPr="001B5D0B">
        <w:rPr>
          <w:rStyle w:val="ab"/>
          <w:rFonts w:ascii="Times New Roman" w:eastAsia="方正仿宋简体" w:hAnsi="Times New Roman" w:cs="Times New Roman" w:hint="eastAsia"/>
          <w:b w:val="0"/>
          <w:color w:val="000000"/>
          <w:sz w:val="32"/>
          <w:szCs w:val="32"/>
          <w:shd w:val="clear" w:color="auto" w:fill="FFFFFF"/>
        </w:rPr>
        <w:t>，</w:t>
      </w:r>
      <w:r w:rsidRPr="001B5D0B">
        <w:rPr>
          <w:rStyle w:val="ab"/>
          <w:rFonts w:ascii="Times New Roman" w:eastAsia="方正仿宋简体" w:hAnsi="Times New Roman" w:cs="Times New Roman"/>
          <w:b w:val="0"/>
          <w:color w:val="000000"/>
          <w:sz w:val="32"/>
          <w:szCs w:val="32"/>
          <w:shd w:val="clear" w:color="auto" w:fill="FFFFFF"/>
        </w:rPr>
        <w:t>出现重大事项应及时报告。</w:t>
      </w:r>
    </w:p>
    <w:p w14:paraId="7472016B" w14:textId="77777777"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第十二条</w:t>
      </w:r>
      <w:r>
        <w:rPr>
          <w:rStyle w:val="ab"/>
          <w:rFonts w:ascii="Times New Roman" w:eastAsia="仿宋_GB2312" w:hAnsi="Times New Roman" w:hint="eastAsia"/>
          <w:b w:val="0"/>
          <w:color w:val="000000"/>
          <w:sz w:val="32"/>
          <w:szCs w:val="32"/>
          <w:shd w:val="clear" w:color="auto" w:fill="FFFFFF"/>
        </w:rPr>
        <w:t xml:space="preserve">  </w:t>
      </w:r>
      <w:r w:rsidRPr="00C94D65">
        <w:rPr>
          <w:rStyle w:val="ab"/>
          <w:rFonts w:ascii="Times New Roman" w:eastAsia="方正仿宋简体" w:hAnsi="Times New Roman" w:cs="Times New Roman"/>
          <w:b w:val="0"/>
          <w:color w:val="000000"/>
          <w:sz w:val="32"/>
          <w:szCs w:val="32"/>
          <w:shd w:val="clear" w:color="auto" w:fill="FFFFFF"/>
        </w:rPr>
        <w:t>受托管理机构应向基金委派投资决策委员会成员，财政部门和业务主管部门可派观察员参与投资决策委员会议等，对基金投资项目合规性进行</w:t>
      </w:r>
      <w:r>
        <w:rPr>
          <w:rStyle w:val="ab"/>
          <w:rFonts w:ascii="Times New Roman" w:eastAsia="方正仿宋简体" w:hAnsi="Times New Roman" w:cs="Times New Roman"/>
          <w:b w:val="0"/>
          <w:color w:val="000000"/>
          <w:sz w:val="32"/>
          <w:szCs w:val="32"/>
          <w:shd w:val="clear" w:color="auto" w:fill="FFFFFF"/>
        </w:rPr>
        <w:t>审核。当投资项目出现违反基金有关规定、基金实施方案、基金章程，以及违规损害政府出资利益等情况时，受托管理机构可以提请终止该项目投资。</w:t>
      </w:r>
    </w:p>
    <w:p w14:paraId="6B0D3529"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cstheme="minorBidi"/>
          <w:b w:val="0"/>
          <w:color w:val="000000"/>
          <w:kern w:val="2"/>
          <w:sz w:val="32"/>
          <w:szCs w:val="32"/>
          <w:shd w:val="clear" w:color="auto" w:fill="FFFFFF"/>
        </w:rPr>
      </w:pPr>
    </w:p>
    <w:p w14:paraId="5F1A0ED0"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2" w:name="_Toc203415198"/>
      <w:r>
        <w:rPr>
          <w:rStyle w:val="ab"/>
          <w:rFonts w:ascii="方正黑体简体" w:eastAsia="方正黑体简体" w:hAnsi="Times New Roman"/>
          <w:b w:val="0"/>
          <w:color w:val="000000"/>
          <w:sz w:val="32"/>
          <w:szCs w:val="32"/>
          <w:shd w:val="clear" w:color="auto" w:fill="FFFFFF"/>
        </w:rPr>
        <w:t>第三章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基金管理人设立</w:t>
      </w:r>
      <w:bookmarkEnd w:id="2"/>
    </w:p>
    <w:p w14:paraId="064ECC25" w14:textId="787A449C"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第十三条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监管企业可以围绕业务需要，根据相关行业监管规定发起设立基金管理人。每家监管企业，原则上只能设立一家</w:t>
      </w:r>
      <w:r>
        <w:rPr>
          <w:rStyle w:val="ab"/>
          <w:rFonts w:ascii="Times New Roman" w:eastAsia="方正仿宋简体" w:hAnsi="Times New Roman"/>
          <w:b w:val="0"/>
          <w:color w:val="000000"/>
          <w:sz w:val="32"/>
          <w:szCs w:val="32"/>
          <w:shd w:val="clear" w:color="auto" w:fill="FFFFFF"/>
        </w:rPr>
        <w:lastRenderedPageBreak/>
        <w:t>实控基金管理人，参与不超过三家非实控基金管理人。</w:t>
      </w:r>
    </w:p>
    <w:p w14:paraId="7E391598"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第十四条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实控基金管理公司应同时符合以下条件：</w:t>
      </w:r>
    </w:p>
    <w:p w14:paraId="337C4EA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（一）监管企业及其</w:t>
      </w:r>
      <w:r>
        <w:rPr>
          <w:rStyle w:val="ab"/>
          <w:rFonts w:ascii="Times New Roman" w:eastAsia="方正仿宋简体" w:hAnsi="Times New Roman" w:hint="eastAsia"/>
          <w:b w:val="0"/>
          <w:color w:val="000000"/>
          <w:sz w:val="32"/>
          <w:szCs w:val="32"/>
          <w:shd w:val="clear" w:color="auto" w:fill="FFFFFF"/>
        </w:rPr>
        <w:t>控股</w:t>
      </w:r>
      <w:r>
        <w:rPr>
          <w:rStyle w:val="ab"/>
          <w:rFonts w:ascii="Times New Roman" w:eastAsia="方正仿宋简体" w:hAnsi="Times New Roman"/>
          <w:b w:val="0"/>
          <w:color w:val="000000"/>
          <w:sz w:val="32"/>
          <w:szCs w:val="32"/>
          <w:shd w:val="clear" w:color="auto" w:fill="FFFFFF"/>
        </w:rPr>
        <w:t>子企业，作为基金管理人的单一股东、控股股东或合并持股第一大股东（含并列第一）。</w:t>
      </w:r>
    </w:p>
    <w:p w14:paraId="5EBB5CF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（二）监管企业及其子企业应在基金管理人董事会、投资决策委员会等决策机构拥有与股权比例相应席位，原则上应委派董事长。</w:t>
      </w:r>
    </w:p>
    <w:p w14:paraId="2EEF15C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（三）基金管理人党建工作、日常管理、风险管控、考核评价等制度机制纳入监管企业整体管理体系。</w:t>
      </w:r>
    </w:p>
    <w:p w14:paraId="18888711"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第十五条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实控基金管理人引入其他股东，应当把认同党的领导、支持党建工作作为首要条件，引入股东应当具有产业或行业较大影响力、较多基金出资份额、较强专业管理能力，或者能够为基金提供其他增值服务。</w:t>
      </w:r>
    </w:p>
    <w:p w14:paraId="37661E58"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第十六条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投资非实控基金管理人，应具有明确的战略或业务协同目标，且监管企业及其子企业合计持股比例原则上不高于</w:t>
      </w:r>
      <w:r>
        <w:rPr>
          <w:rStyle w:val="ab"/>
          <w:rFonts w:ascii="Times New Roman" w:eastAsia="方正仿宋简体" w:hAnsi="Times New Roman"/>
          <w:b w:val="0"/>
          <w:color w:val="000000"/>
          <w:sz w:val="32"/>
          <w:szCs w:val="32"/>
          <w:shd w:val="clear" w:color="auto" w:fill="FFFFFF"/>
        </w:rPr>
        <w:t>25%</w:t>
      </w:r>
      <w:r>
        <w:rPr>
          <w:rStyle w:val="ab"/>
          <w:rFonts w:ascii="Times New Roman" w:eastAsia="方正仿宋简体" w:hAnsi="Times New Roman"/>
          <w:b w:val="0"/>
          <w:color w:val="000000"/>
          <w:sz w:val="32"/>
          <w:szCs w:val="32"/>
          <w:shd w:val="clear" w:color="auto" w:fill="FFFFFF"/>
        </w:rPr>
        <w:t>，投资其他监管企业实控基金管理人可适当提高比例。监管企业应督促非实控基金管理人完成登记备案，并明确其实控人，实控人应有较强的行业或市场影响力。</w:t>
      </w:r>
    </w:p>
    <w:p w14:paraId="36DF7A7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第十七条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监管企业不得授权非实控基金管理人使用集团字号或相似字号，不得对外宣传依托集团资源开展业务。</w:t>
      </w:r>
    </w:p>
    <w:p w14:paraId="0861A610"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第十八条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监管企业应及时注销或退出长期未开展基金业务或投资偏离预定目标的基金管理人。</w:t>
      </w:r>
    </w:p>
    <w:p w14:paraId="1F9B4F12"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b w:val="0"/>
          <w:color w:val="000000"/>
          <w:sz w:val="32"/>
          <w:szCs w:val="32"/>
          <w:shd w:val="clear" w:color="auto" w:fill="FFFFFF"/>
        </w:rPr>
      </w:pPr>
    </w:p>
    <w:p w14:paraId="3B15C7AC"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3" w:name="_Toc203415199"/>
      <w:r>
        <w:rPr>
          <w:rStyle w:val="ab"/>
          <w:rFonts w:ascii="方正黑体简体" w:eastAsia="方正黑体简体" w:hAnsi="Times New Roman"/>
          <w:b w:val="0"/>
          <w:color w:val="000000"/>
          <w:sz w:val="32"/>
          <w:szCs w:val="32"/>
          <w:shd w:val="clear" w:color="auto" w:fill="FFFFFF"/>
        </w:rPr>
        <w:t>第四章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监管企业基金设立</w:t>
      </w:r>
      <w:bookmarkEnd w:id="3"/>
    </w:p>
    <w:p w14:paraId="7E493BA2" w14:textId="75C767E5"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第十九条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监管企业参与设立的基金，根据角色不同，分为发起类基金、参与类基金、管理类</w:t>
      </w:r>
      <w:r w:rsidRPr="00C94D65">
        <w:rPr>
          <w:rStyle w:val="ab"/>
          <w:rFonts w:ascii="Times New Roman" w:eastAsia="方正仿宋简体" w:hAnsi="Times New Roman"/>
          <w:b w:val="0"/>
          <w:color w:val="000000"/>
          <w:sz w:val="32"/>
          <w:szCs w:val="32"/>
          <w:shd w:val="clear" w:color="auto" w:fill="FFFFFF"/>
        </w:rPr>
        <w:t>基金</w:t>
      </w:r>
      <w:r w:rsidR="00C94D65" w:rsidRPr="00C94D65">
        <w:rPr>
          <w:rStyle w:val="ab"/>
          <w:rFonts w:ascii="Times New Roman" w:eastAsia="方正仿宋简体" w:hAnsi="Times New Roman" w:hint="eastAsia"/>
          <w:b w:val="0"/>
          <w:color w:val="000000"/>
          <w:sz w:val="32"/>
          <w:szCs w:val="32"/>
          <w:shd w:val="clear" w:color="auto" w:fill="FFFFFF"/>
        </w:rPr>
        <w:t>。</w:t>
      </w:r>
      <w:r w:rsidRPr="00C94D65">
        <w:rPr>
          <w:rStyle w:val="ab"/>
          <w:rFonts w:ascii="Times New Roman" w:eastAsia="方正仿宋简体" w:hAnsi="Times New Roman"/>
          <w:b w:val="0"/>
          <w:color w:val="000000"/>
          <w:sz w:val="32"/>
          <w:szCs w:val="32"/>
          <w:shd w:val="clear" w:color="auto" w:fill="FFFFFF"/>
        </w:rPr>
        <w:t>其中发起类基金是指由监管企业及其所属企业作为主要出资人发起设立，并且</w:t>
      </w:r>
      <w:r>
        <w:rPr>
          <w:rStyle w:val="ab"/>
          <w:rFonts w:ascii="Times New Roman" w:eastAsia="方正仿宋简体" w:hAnsi="Times New Roman"/>
          <w:b w:val="0"/>
          <w:color w:val="000000"/>
          <w:sz w:val="32"/>
          <w:szCs w:val="32"/>
          <w:shd w:val="clear" w:color="auto" w:fill="FFFFFF"/>
        </w:rPr>
        <w:t>由监管企业实际控制的基金管理人管理的基金；参与类基金是指监管企业及其所属企业作为出资人，出资非实控基金管理人管理的基金；管理类基金是指监管企业没有出资，同时由监管企业实际控制的基金管理人管理的基金。</w:t>
      </w:r>
    </w:p>
    <w:p w14:paraId="1AD5A766"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监管企业应当合理确定投资基金的规模、范围及方式。存在以下情形的监管企业，原则上不得出资发起类基金和参与类基金。</w:t>
      </w:r>
    </w:p>
    <w:p w14:paraId="53111630"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（一）资产负债率偏高或者现金流紧张的非金融服务类企业。</w:t>
      </w:r>
    </w:p>
    <w:p w14:paraId="51C2D926"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（二）未建立基金管理制度或者基金管理体系不健全的监管企业。</w:t>
      </w:r>
    </w:p>
    <w:p w14:paraId="5B0BBE25"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（三）集团管控能力弱，已投资发起类基金、参与类基金近三年发生重大风险或较大损失。</w:t>
      </w:r>
    </w:p>
    <w:p w14:paraId="2E117FE5"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（四）已设立基金投资进度缓慢，与市场同类基金明显不符的。</w:t>
      </w:r>
    </w:p>
    <w:p w14:paraId="1EC4F60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（五）</w:t>
      </w:r>
      <w:r>
        <w:rPr>
          <w:rStyle w:val="ab"/>
          <w:rFonts w:ascii="Times New Roman" w:eastAsia="方正仿宋简体" w:hAnsi="Times New Roman" w:hint="eastAsia"/>
          <w:b w:val="0"/>
          <w:color w:val="000000"/>
          <w:sz w:val="32"/>
          <w:szCs w:val="32"/>
          <w:shd w:val="clear" w:color="auto" w:fill="FFFFFF"/>
        </w:rPr>
        <w:t>师市</w:t>
      </w:r>
      <w:r>
        <w:rPr>
          <w:rStyle w:val="ab"/>
          <w:rFonts w:ascii="Times New Roman" w:eastAsia="方正仿宋简体" w:hAnsi="Times New Roman"/>
          <w:b w:val="0"/>
          <w:color w:val="000000"/>
          <w:sz w:val="32"/>
          <w:szCs w:val="32"/>
          <w:shd w:val="clear" w:color="auto" w:fill="FFFFFF"/>
        </w:rPr>
        <w:t>财政局（国资委）或行业监管部门认定的其他情形。</w:t>
      </w:r>
    </w:p>
    <w:p w14:paraId="65A06F6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第二十一条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监管企业根据行业规定和自身业务发展需要，</w:t>
      </w:r>
      <w:r>
        <w:rPr>
          <w:rStyle w:val="ab"/>
          <w:rFonts w:ascii="Times New Roman" w:eastAsia="方正仿宋简体" w:hAnsi="Times New Roman"/>
          <w:b w:val="0"/>
          <w:color w:val="000000"/>
          <w:sz w:val="32"/>
          <w:szCs w:val="32"/>
          <w:shd w:val="clear" w:color="auto" w:fill="FFFFFF"/>
        </w:rPr>
        <w:lastRenderedPageBreak/>
        <w:t>合理确定投资于基金的金额，累计净额（扣除已退出的基金）原则上不得超过监管企业最近一期经审计</w:t>
      </w:r>
      <w:r>
        <w:rPr>
          <w:rStyle w:val="ab"/>
          <w:rFonts w:ascii="Times New Roman" w:eastAsia="方正仿宋简体" w:hAnsi="Times New Roman" w:hint="eastAsia"/>
          <w:b w:val="0"/>
          <w:color w:val="000000"/>
          <w:sz w:val="32"/>
          <w:szCs w:val="32"/>
          <w:shd w:val="clear" w:color="auto" w:fill="FFFFFF"/>
        </w:rPr>
        <w:t>合并报表</w:t>
      </w:r>
      <w:r>
        <w:rPr>
          <w:rStyle w:val="ab"/>
          <w:rFonts w:ascii="Times New Roman" w:eastAsia="方正仿宋简体" w:hAnsi="Times New Roman"/>
          <w:b w:val="0"/>
          <w:color w:val="000000"/>
          <w:sz w:val="32"/>
          <w:szCs w:val="32"/>
          <w:shd w:val="clear" w:color="auto" w:fill="FFFFFF"/>
        </w:rPr>
        <w:t>净资产的</w:t>
      </w:r>
      <w:r>
        <w:rPr>
          <w:rStyle w:val="ab"/>
          <w:rFonts w:ascii="Times New Roman" w:eastAsia="方正仿宋简体" w:hAnsi="Times New Roman"/>
          <w:b w:val="0"/>
          <w:color w:val="000000"/>
          <w:sz w:val="32"/>
          <w:szCs w:val="32"/>
          <w:shd w:val="clear" w:color="auto" w:fill="FFFFFF"/>
        </w:rPr>
        <w:t>10%</w:t>
      </w:r>
      <w:r>
        <w:rPr>
          <w:rStyle w:val="ab"/>
          <w:rFonts w:ascii="Times New Roman" w:eastAsia="方正仿宋简体" w:hAnsi="Times New Roman"/>
          <w:b w:val="0"/>
          <w:color w:val="000000"/>
          <w:sz w:val="32"/>
          <w:szCs w:val="32"/>
          <w:shd w:val="clear" w:color="auto" w:fill="FFFFFF"/>
        </w:rPr>
        <w:t>。监管企业应在年度投资计划中明确投资基金的种类、规模、方式、领域、资金来源与构成等要素。</w:t>
      </w:r>
    </w:p>
    <w:p w14:paraId="3E2EA97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hint="eastAsia"/>
          <w:b w:val="0"/>
          <w:color w:val="000000"/>
          <w:sz w:val="32"/>
          <w:szCs w:val="32"/>
          <w:shd w:val="clear" w:color="auto" w:fill="FFFFFF"/>
        </w:rPr>
        <w:t>第二十二条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监管企业及其子企业应当在发起设立或参与基金前，做好前期论证和风险评估：</w:t>
      </w:r>
    </w:p>
    <w:p w14:paraId="3688522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（一）根据国家相关法律、法规、规章及国资监管规定，围绕企业主业和发展战略，结合基金行业特点，对市场、策略、团队和</w:t>
      </w:r>
      <w:r>
        <w:rPr>
          <w:rStyle w:val="ab"/>
          <w:rFonts w:ascii="Times New Roman" w:eastAsia="方正仿宋简体" w:hAnsi="Times New Roman" w:hint="eastAsia"/>
          <w:b w:val="0"/>
          <w:color w:val="000000"/>
          <w:sz w:val="32"/>
          <w:szCs w:val="32"/>
          <w:shd w:val="clear" w:color="auto" w:fill="FFFFFF"/>
        </w:rPr>
        <w:t>政策</w:t>
      </w:r>
      <w:r>
        <w:rPr>
          <w:rStyle w:val="ab"/>
          <w:rFonts w:ascii="Times New Roman" w:eastAsia="方正仿宋简体" w:hAnsi="Times New Roman"/>
          <w:b w:val="0"/>
          <w:color w:val="000000"/>
          <w:sz w:val="32"/>
          <w:szCs w:val="32"/>
          <w:shd w:val="clear" w:color="auto" w:fill="FFFFFF"/>
        </w:rPr>
        <w:t>等方面深入开展研究和论证，对相关合作方严格实施尽职调查，并在此基础上形成可投资建议书或者基金设立方案。</w:t>
      </w:r>
    </w:p>
    <w:p w14:paraId="37E0E63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（二）投资非实控基金管理人发起设立的基金时，企业应当对该基金管理人开展资质审查。审查内容主要包括：基金管理人的治理结构和管理制度是否健全有效</w:t>
      </w:r>
      <w:r>
        <w:rPr>
          <w:rStyle w:val="ab"/>
          <w:rFonts w:ascii="Times New Roman" w:eastAsia="方正仿宋简体" w:hAnsi="Times New Roman" w:hint="eastAsia"/>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是否具有丰富的投资管理经验和出色的业绩表现</w:t>
      </w:r>
      <w:r>
        <w:rPr>
          <w:rStyle w:val="ab"/>
          <w:rFonts w:ascii="Times New Roman" w:eastAsia="方正仿宋简体" w:hAnsi="Times New Roman" w:hint="eastAsia"/>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是否为基金投资配备稳定的管理团队</w:t>
      </w:r>
      <w:r>
        <w:rPr>
          <w:rStyle w:val="ab"/>
          <w:rFonts w:ascii="Times New Roman" w:eastAsia="方正仿宋简体" w:hAnsi="Times New Roman" w:hint="eastAsia"/>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是否具有健全的激励约束机制、跟进投资机制、资产托管机制和风险隔离机制等。</w:t>
      </w:r>
    </w:p>
    <w:p w14:paraId="05FA01C5"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（三）投资已过开放期的基金，企业应当按照国家相关法律、法规、规章及国资监管规定，履行资产评估程序，选聘合格中介机构开展资产评估，并按规定办理资产评估核准或备案。</w:t>
      </w:r>
    </w:p>
    <w:p w14:paraId="49B337D9" w14:textId="05198DA0"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第二十三条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监管企业及其子企业应加强对基金、基金管理人的公司章程、有限合伙协</w:t>
      </w:r>
      <w:r w:rsidRPr="00E47BFA">
        <w:rPr>
          <w:rStyle w:val="ab"/>
          <w:rFonts w:ascii="Times New Roman" w:eastAsia="方正仿宋简体" w:hAnsi="Times New Roman"/>
          <w:b w:val="0"/>
          <w:color w:val="000000"/>
          <w:sz w:val="32"/>
          <w:szCs w:val="32"/>
          <w:shd w:val="clear" w:color="auto" w:fill="FFFFFF"/>
        </w:rPr>
        <w:t>议等文件的审查，通过</w:t>
      </w:r>
      <w:r>
        <w:rPr>
          <w:rStyle w:val="ab"/>
          <w:rFonts w:ascii="Times New Roman" w:eastAsia="方正仿宋简体" w:hAnsi="Times New Roman"/>
          <w:b w:val="0"/>
          <w:color w:val="000000"/>
          <w:sz w:val="32"/>
          <w:szCs w:val="32"/>
          <w:shd w:val="clear" w:color="auto" w:fill="FFFFFF"/>
        </w:rPr>
        <w:t>基金章程保障监管企业的合法权益。企业应当在基金章程中依法主张对基金相</w:t>
      </w:r>
      <w:r>
        <w:rPr>
          <w:rStyle w:val="ab"/>
          <w:rFonts w:ascii="Times New Roman" w:eastAsia="方正仿宋简体" w:hAnsi="Times New Roman"/>
          <w:b w:val="0"/>
          <w:color w:val="000000"/>
          <w:sz w:val="32"/>
          <w:szCs w:val="32"/>
          <w:shd w:val="clear" w:color="auto" w:fill="FFFFFF"/>
        </w:rPr>
        <w:lastRenderedPageBreak/>
        <w:t>关事务拥有知情权、建议权、监督权和审计权等，并按照</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利益共享、风险共担</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的原则，明确约定收益分配和亏损负担方式。</w:t>
      </w:r>
    </w:p>
    <w:p w14:paraId="01527073"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监管企业及其子企业以有限合伙人形式参与投资基金时，应当依照法律法规、基金章程等规定，通过参加投资决策委员会、担任观察员等方式，切实保障企业自身合法权益。</w:t>
      </w:r>
    </w:p>
    <w:p w14:paraId="288B4C65"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b w:val="0"/>
          <w:color w:val="000000"/>
          <w:sz w:val="32"/>
          <w:szCs w:val="32"/>
          <w:shd w:val="clear" w:color="auto" w:fill="FFFFFF"/>
        </w:rPr>
      </w:pPr>
    </w:p>
    <w:p w14:paraId="5D56BAEE"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4" w:name="_Toc203415200"/>
      <w:r>
        <w:rPr>
          <w:rStyle w:val="ab"/>
          <w:rFonts w:ascii="方正黑体简体" w:eastAsia="方正黑体简体" w:hAnsi="Times New Roman"/>
          <w:b w:val="0"/>
          <w:color w:val="000000"/>
          <w:sz w:val="32"/>
          <w:szCs w:val="32"/>
          <w:shd w:val="clear" w:color="auto" w:fill="FFFFFF"/>
        </w:rPr>
        <w:t>第五章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资金募集</w:t>
      </w:r>
      <w:bookmarkEnd w:id="4"/>
    </w:p>
    <w:p w14:paraId="7541A976"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第二十四条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监管企业应严格遵守基金募集的相关法规和监管规定，并满足以下要求：</w:t>
      </w:r>
    </w:p>
    <w:p w14:paraId="3F2FA70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（一）允许符合条件的企业举债投资符合政策导向的政府投资基金和</w:t>
      </w:r>
      <w:r>
        <w:rPr>
          <w:rStyle w:val="ab"/>
          <w:rFonts w:ascii="Times New Roman" w:eastAsia="方正仿宋简体" w:hAnsi="Times New Roman" w:hint="eastAsia"/>
          <w:b w:val="0"/>
          <w:color w:val="000000"/>
          <w:sz w:val="32"/>
          <w:szCs w:val="32"/>
          <w:shd w:val="clear" w:color="auto" w:fill="FFFFFF"/>
        </w:rPr>
        <w:t>创业投资基金</w:t>
      </w:r>
      <w:r>
        <w:rPr>
          <w:rStyle w:val="ab"/>
          <w:rFonts w:ascii="Times New Roman" w:eastAsia="方正仿宋简体" w:hAnsi="Times New Roman"/>
          <w:b w:val="0"/>
          <w:color w:val="000000"/>
          <w:sz w:val="32"/>
          <w:szCs w:val="32"/>
          <w:shd w:val="clear" w:color="auto" w:fill="FFFFFF"/>
        </w:rPr>
        <w:t>。其他情况下，企业原则上不得使用贷款、发行债券等筹集的非自有资金投资基金</w:t>
      </w:r>
      <w:r>
        <w:rPr>
          <w:rStyle w:val="ab"/>
          <w:rFonts w:ascii="Times New Roman" w:eastAsia="方正仿宋简体" w:hAnsi="Times New Roman" w:hint="eastAsia"/>
          <w:b w:val="0"/>
          <w:color w:val="000000"/>
          <w:sz w:val="32"/>
          <w:szCs w:val="32"/>
          <w:shd w:val="clear" w:color="auto" w:fill="FFFFFF"/>
        </w:rPr>
        <w:t>；</w:t>
      </w:r>
    </w:p>
    <w:p w14:paraId="6FA5392F"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（二）原则上不得作为基金的劣后级投资者</w:t>
      </w:r>
      <w:r>
        <w:rPr>
          <w:rStyle w:val="ab"/>
          <w:rFonts w:ascii="Times New Roman" w:eastAsia="方正仿宋简体" w:hAnsi="Times New Roman" w:hint="eastAsia"/>
          <w:b w:val="0"/>
          <w:color w:val="000000"/>
          <w:sz w:val="32"/>
          <w:szCs w:val="32"/>
          <w:shd w:val="clear" w:color="auto" w:fill="FFFFFF"/>
        </w:rPr>
        <w:t>；</w:t>
      </w:r>
    </w:p>
    <w:p w14:paraId="76ADE075"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（三）发起设立基金时，不得以承诺最低收益、承担投资损失、承诺回购本金、差额收益补足及其他附加条款等债务性方式募集资金</w:t>
      </w:r>
      <w:r>
        <w:rPr>
          <w:rStyle w:val="ab"/>
          <w:rFonts w:ascii="Times New Roman" w:eastAsia="方正仿宋简体" w:hAnsi="Times New Roman" w:hint="eastAsia"/>
          <w:b w:val="0"/>
          <w:color w:val="000000"/>
          <w:sz w:val="32"/>
          <w:szCs w:val="32"/>
          <w:shd w:val="clear" w:color="auto" w:fill="FFFFFF"/>
        </w:rPr>
        <w:t>；</w:t>
      </w:r>
    </w:p>
    <w:p w14:paraId="504C4851"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（四）不得为基金提供任何形式的担保或承担其他形式的连带责任</w:t>
      </w:r>
      <w:r>
        <w:rPr>
          <w:rStyle w:val="ab"/>
          <w:rFonts w:ascii="Times New Roman" w:eastAsia="方正仿宋简体" w:hAnsi="Times New Roman" w:hint="eastAsia"/>
          <w:b w:val="0"/>
          <w:color w:val="000000"/>
          <w:sz w:val="32"/>
          <w:szCs w:val="32"/>
          <w:shd w:val="clear" w:color="auto" w:fill="FFFFFF"/>
        </w:rPr>
        <w:t>；</w:t>
      </w:r>
    </w:p>
    <w:p w14:paraId="0101AF01"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（五）不得委托他人代为投资基金</w:t>
      </w:r>
      <w:r>
        <w:rPr>
          <w:rStyle w:val="ab"/>
          <w:rFonts w:ascii="Times New Roman" w:eastAsia="方正仿宋简体" w:hAnsi="Times New Roman" w:hint="eastAsia"/>
          <w:b w:val="0"/>
          <w:color w:val="000000"/>
          <w:sz w:val="32"/>
          <w:szCs w:val="32"/>
          <w:shd w:val="clear" w:color="auto" w:fill="FFFFFF"/>
        </w:rPr>
        <w:t>；</w:t>
      </w:r>
    </w:p>
    <w:p w14:paraId="2D6B7024"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（六）不得替他人代持基金。</w:t>
      </w:r>
    </w:p>
    <w:p w14:paraId="72A9986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第二十五条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监管企业应充分发挥基金资本放大作用：</w:t>
      </w:r>
    </w:p>
    <w:p w14:paraId="1BD1BDEC"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（一）产业投资基金，在单一基金（母基金除外）中，全部</w:t>
      </w:r>
      <w:r>
        <w:rPr>
          <w:rStyle w:val="ab"/>
          <w:rFonts w:ascii="Times New Roman" w:eastAsia="方正仿宋简体" w:hAnsi="Times New Roman"/>
          <w:b w:val="0"/>
          <w:color w:val="000000"/>
          <w:sz w:val="32"/>
          <w:szCs w:val="32"/>
          <w:shd w:val="clear" w:color="auto" w:fill="FFFFFF"/>
        </w:rPr>
        <w:lastRenderedPageBreak/>
        <w:t>监管企业及其子企业合计认缴比例原则上不高于基金认缴总额的</w:t>
      </w:r>
      <w:r>
        <w:rPr>
          <w:rStyle w:val="ab"/>
          <w:rFonts w:ascii="Times New Roman" w:eastAsia="方正仿宋简体" w:hAnsi="Times New Roman"/>
          <w:b w:val="0"/>
          <w:color w:val="000000"/>
          <w:sz w:val="32"/>
          <w:szCs w:val="32"/>
          <w:shd w:val="clear" w:color="auto" w:fill="FFFFFF"/>
        </w:rPr>
        <w:t>50%</w:t>
      </w:r>
      <w:r>
        <w:rPr>
          <w:rStyle w:val="ab"/>
          <w:rFonts w:ascii="Times New Roman" w:eastAsia="方正仿宋简体" w:hAnsi="Times New Roman"/>
          <w:b w:val="0"/>
          <w:color w:val="000000"/>
          <w:sz w:val="32"/>
          <w:szCs w:val="32"/>
          <w:shd w:val="clear" w:color="auto" w:fill="FFFFFF"/>
        </w:rPr>
        <w:t>。</w:t>
      </w:r>
    </w:p>
    <w:p w14:paraId="274F0E0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（二）财务投资基金，在单一基金中，全部监管企业及其子企业合计认缴比例原则上不高于基金认缴总额的</w:t>
      </w:r>
      <w:r>
        <w:rPr>
          <w:rStyle w:val="ab"/>
          <w:rFonts w:ascii="Times New Roman" w:eastAsia="方正仿宋简体" w:hAnsi="Times New Roman"/>
          <w:b w:val="0"/>
          <w:color w:val="000000"/>
          <w:sz w:val="32"/>
          <w:szCs w:val="32"/>
          <w:shd w:val="clear" w:color="auto" w:fill="FFFFFF"/>
        </w:rPr>
        <w:t>30%</w:t>
      </w:r>
      <w:r>
        <w:rPr>
          <w:rStyle w:val="ab"/>
          <w:rFonts w:ascii="Times New Roman" w:eastAsia="方正仿宋简体" w:hAnsi="Times New Roman"/>
          <w:b w:val="0"/>
          <w:color w:val="000000"/>
          <w:sz w:val="32"/>
          <w:szCs w:val="32"/>
          <w:shd w:val="clear" w:color="auto" w:fill="FFFFFF"/>
        </w:rPr>
        <w:t>。</w:t>
      </w:r>
    </w:p>
    <w:p w14:paraId="3BE0C516"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（三）投资策略中明确主要投资种子期、初创期科技型企业的基金可适当提高比例。</w:t>
      </w:r>
    </w:p>
    <w:p w14:paraId="0D1F2E1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第二十六条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基金应合理确定募集期，投资已过募集期基金或募集期结束后持有份额的基金发生非同比例增减资等经济行为，应当按照国家相关法律、法规、规章及国资监管规定，履行决策及评估管理程序。</w:t>
      </w:r>
    </w:p>
    <w:p w14:paraId="5B57658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第二十七条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基金资金缴付方式原则上应与投资进度相匹配，监管企业应主张与其他投资人同比例缴付的权利，对长期不出资的投资人应当按照基金章程约定依法合理限制其权利或进行基金减资，不得为基金其他出资人垫付出资。</w:t>
      </w:r>
    </w:p>
    <w:p w14:paraId="24DCE587"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第二十八条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实控基金管理人应持续加强资金募集能力，拓宽募资渠道，创新产品设计，提高市场化、多元化的募资能力。</w:t>
      </w:r>
    </w:p>
    <w:p w14:paraId="7A661D0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第二十九条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监管企业应加强对实控基金管理人资金募集行为的管理。实控基金管理人应严格遵守相关法律法规和监管规定，基金募集完毕后应按照</w:t>
      </w:r>
      <w:r>
        <w:rPr>
          <w:rStyle w:val="ab"/>
          <w:rFonts w:ascii="Times New Roman" w:eastAsia="方正仿宋简体" w:hAnsi="Times New Roman" w:hint="eastAsia"/>
          <w:b w:val="0"/>
          <w:color w:val="000000"/>
          <w:sz w:val="32"/>
          <w:szCs w:val="32"/>
          <w:shd w:val="clear" w:color="auto" w:fill="FFFFFF"/>
        </w:rPr>
        <w:t>中国证券投资基金业协会</w:t>
      </w:r>
      <w:r>
        <w:rPr>
          <w:rStyle w:val="ab"/>
          <w:rFonts w:ascii="Times New Roman" w:eastAsia="方正仿宋简体" w:hAnsi="Times New Roman"/>
          <w:b w:val="0"/>
          <w:color w:val="000000"/>
          <w:sz w:val="32"/>
          <w:szCs w:val="32"/>
          <w:shd w:val="clear" w:color="auto" w:fill="FFFFFF"/>
        </w:rPr>
        <w:t>要求完成基金备案。</w:t>
      </w:r>
    </w:p>
    <w:p w14:paraId="7C4B29C8"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b w:val="0"/>
          <w:color w:val="000000"/>
          <w:sz w:val="32"/>
          <w:szCs w:val="32"/>
          <w:shd w:val="clear" w:color="auto" w:fill="FFFFFF"/>
        </w:rPr>
      </w:pPr>
    </w:p>
    <w:p w14:paraId="6ECE22C8"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5" w:name="_Toc203415201"/>
      <w:r>
        <w:rPr>
          <w:rStyle w:val="ab"/>
          <w:rFonts w:ascii="方正黑体简体" w:eastAsia="方正黑体简体" w:hAnsi="Times New Roman"/>
          <w:b w:val="0"/>
          <w:color w:val="000000"/>
          <w:sz w:val="32"/>
          <w:szCs w:val="32"/>
          <w:shd w:val="clear" w:color="auto" w:fill="FFFFFF"/>
        </w:rPr>
        <w:t>第六章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基金投资</w:t>
      </w:r>
      <w:bookmarkEnd w:id="5"/>
    </w:p>
    <w:p w14:paraId="134137C7"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lastRenderedPageBreak/>
        <w:t>第三十条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指导并督促实控基金管理人建立健全投资管理制度体系，明确项目开发与筛选、尽职调查、项目估值、项目立项、投资决策、项目执行、投后管理等各个环节的流程和要求，建立投资项目适时退出机制，构建投资项目风险管控机制，加强对投资项目事前、事中、事后的风险防控。</w:t>
      </w:r>
    </w:p>
    <w:p w14:paraId="7F68D3EB" w14:textId="36507C12"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第三十一条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监管企业应当指导并督促实控基金管理人加强对基金的财务管理，按照</w:t>
      </w:r>
      <w:r>
        <w:rPr>
          <w:rStyle w:val="ab"/>
          <w:rFonts w:ascii="Times New Roman" w:eastAsia="方正仿宋简体" w:hAnsi="Times New Roman" w:hint="eastAsia"/>
          <w:b w:val="0"/>
          <w:color w:val="000000"/>
          <w:sz w:val="32"/>
          <w:szCs w:val="32"/>
          <w:shd w:val="clear" w:color="auto" w:fill="FFFFFF"/>
        </w:rPr>
        <w:t>《会计法》</w:t>
      </w:r>
      <w:r>
        <w:rPr>
          <w:rStyle w:val="ab"/>
          <w:rFonts w:ascii="Times New Roman" w:eastAsia="方正仿宋简体" w:hAnsi="Times New Roman"/>
          <w:b w:val="0"/>
          <w:color w:val="000000"/>
          <w:sz w:val="32"/>
          <w:szCs w:val="32"/>
          <w:shd w:val="clear" w:color="auto" w:fill="FFFFFF"/>
        </w:rPr>
        <w:t>《企业会计准则》等规定，</w:t>
      </w:r>
      <w:r>
        <w:rPr>
          <w:rStyle w:val="ab"/>
          <w:rFonts w:ascii="Times New Roman" w:eastAsia="方正仿宋简体" w:hAnsi="Times New Roman" w:hint="eastAsia"/>
          <w:b w:val="0"/>
          <w:color w:val="000000"/>
          <w:sz w:val="32"/>
          <w:szCs w:val="32"/>
          <w:shd w:val="clear" w:color="auto" w:fill="FFFFFF"/>
        </w:rPr>
        <w:t>规范会计核算</w:t>
      </w:r>
      <w:r>
        <w:rPr>
          <w:rStyle w:val="ab"/>
          <w:rFonts w:ascii="Times New Roman" w:eastAsia="方正仿宋简体" w:hAnsi="Times New Roman"/>
          <w:b w:val="0"/>
          <w:color w:val="000000"/>
          <w:sz w:val="32"/>
          <w:szCs w:val="32"/>
          <w:shd w:val="clear" w:color="auto" w:fill="FFFFFF"/>
        </w:rPr>
        <w:t>，编制财务报表，并聘请有资质的独立审计机构进行审计。</w:t>
      </w:r>
    </w:p>
    <w:p w14:paraId="5EA3D991"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第三十二条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监管企业应当指导并督促实控基金管理人根据行业监管要求做好中国证券投资基金业协会备案和信息披露等工作。</w:t>
      </w:r>
    </w:p>
    <w:p w14:paraId="517D59BC"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第三十三条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监管企业参与投资基金、参与投资基金管理人，需围绕所在集团主责主业</w:t>
      </w:r>
      <w:r w:rsidRPr="00E47BFA">
        <w:rPr>
          <w:rStyle w:val="ab"/>
          <w:rFonts w:ascii="Times New Roman" w:eastAsia="方正仿宋简体" w:hAnsi="Times New Roman"/>
          <w:b w:val="0"/>
          <w:color w:val="000000"/>
          <w:sz w:val="32"/>
          <w:szCs w:val="32"/>
          <w:shd w:val="clear" w:color="auto" w:fill="FFFFFF"/>
        </w:rPr>
        <w:t>以及</w:t>
      </w:r>
      <w:r w:rsidRPr="00E47BFA">
        <w:rPr>
          <w:rStyle w:val="ab"/>
          <w:rFonts w:ascii="Times New Roman" w:eastAsia="方正仿宋简体" w:hAnsi="Times New Roman" w:hint="eastAsia"/>
          <w:b w:val="0"/>
          <w:color w:val="000000"/>
          <w:sz w:val="32"/>
          <w:szCs w:val="32"/>
          <w:shd w:val="clear" w:color="auto" w:fill="FFFFFF"/>
        </w:rPr>
        <w:t>师市</w:t>
      </w:r>
      <w:r w:rsidRPr="00E47BFA">
        <w:rPr>
          <w:rStyle w:val="ab"/>
          <w:rFonts w:ascii="Times New Roman" w:eastAsia="方正仿宋简体" w:hAnsi="Times New Roman"/>
          <w:b w:val="0"/>
          <w:color w:val="000000"/>
          <w:sz w:val="32"/>
          <w:szCs w:val="32"/>
          <w:shd w:val="clear" w:color="auto" w:fill="FFFFFF"/>
        </w:rPr>
        <w:t>的重点发展产业。参与投资基金、参与投资基金管理人应重点关注所投基金的合伙形式、基金规模、出资人情况、基金期限、</w:t>
      </w:r>
      <w:r>
        <w:rPr>
          <w:rStyle w:val="ab"/>
          <w:rFonts w:ascii="Times New Roman" w:eastAsia="方正仿宋简体" w:hAnsi="Times New Roman"/>
          <w:b w:val="0"/>
          <w:color w:val="000000"/>
          <w:sz w:val="32"/>
          <w:szCs w:val="32"/>
          <w:shd w:val="clear" w:color="auto" w:fill="FFFFFF"/>
        </w:rPr>
        <w:t>基金管理公司情况、盈利分配及预期年化收益率等。通过参加投资决策委员会、担任观察员等方式，了解基金管理人中其他股东的管理经验和过往业绩等情况。</w:t>
      </w:r>
    </w:p>
    <w:p w14:paraId="6DE8E019" w14:textId="50D6CEF9" w:rsidR="001449C6" w:rsidRDefault="00000000" w:rsidP="007D3874">
      <w:pPr>
        <w:spacing w:line="560" w:lineRule="exact"/>
        <w:ind w:firstLineChars="200" w:firstLine="640"/>
        <w:rPr>
          <w:rStyle w:val="ab"/>
          <w:rFonts w:ascii="Times New Roman" w:eastAsia="方正仿宋简体" w:hAnsi="Times New Roman" w:cs="Times New Roman"/>
          <w:b w:val="0"/>
          <w:color w:val="000000"/>
          <w:sz w:val="32"/>
          <w:szCs w:val="32"/>
          <w:shd w:val="clear" w:color="auto" w:fill="FFFFFF"/>
        </w:rPr>
      </w:pPr>
      <w:r>
        <w:rPr>
          <w:rStyle w:val="ab"/>
          <w:rFonts w:ascii="方正黑体简体" w:eastAsia="方正黑体简体" w:hAnsi="Times New Roman" w:cs="Times New Roman"/>
          <w:b w:val="0"/>
          <w:color w:val="000000"/>
          <w:kern w:val="0"/>
          <w:sz w:val="32"/>
          <w:szCs w:val="32"/>
          <w:shd w:val="clear" w:color="auto" w:fill="FFFFFF"/>
        </w:rPr>
        <w:t>第三十四条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cs="Times New Roman"/>
          <w:b w:val="0"/>
          <w:color w:val="000000"/>
          <w:sz w:val="32"/>
          <w:szCs w:val="32"/>
          <w:shd w:val="clear" w:color="auto" w:fill="FFFFFF"/>
        </w:rPr>
        <w:t>基金对直接投资项目原则上参股不控股，且对同一直接投资项目累计投资不超</w:t>
      </w:r>
      <w:r w:rsidRPr="00E47BFA">
        <w:rPr>
          <w:rStyle w:val="ab"/>
          <w:rFonts w:ascii="Times New Roman" w:eastAsia="方正仿宋简体" w:hAnsi="Times New Roman" w:cs="Times New Roman"/>
          <w:b w:val="0"/>
          <w:color w:val="000000"/>
          <w:sz w:val="32"/>
          <w:szCs w:val="32"/>
          <w:shd w:val="clear" w:color="auto" w:fill="FFFFFF"/>
        </w:rPr>
        <w:t>过基金规模的</w:t>
      </w:r>
      <w:r w:rsidRPr="00E47BFA">
        <w:rPr>
          <w:rStyle w:val="ab"/>
          <w:rFonts w:ascii="Times New Roman" w:eastAsia="方正仿宋简体" w:hAnsi="Times New Roman" w:cs="Times New Roman"/>
          <w:b w:val="0"/>
          <w:color w:val="000000"/>
          <w:sz w:val="32"/>
          <w:szCs w:val="32"/>
          <w:shd w:val="clear" w:color="auto" w:fill="FFFFFF"/>
        </w:rPr>
        <w:t>20%</w:t>
      </w:r>
      <w:r w:rsidR="00E47BFA" w:rsidRPr="00E47BFA">
        <w:rPr>
          <w:rStyle w:val="ab"/>
          <w:rFonts w:ascii="Times New Roman" w:eastAsia="方正仿宋简体" w:hAnsi="Times New Roman" w:cs="Times New Roman" w:hint="eastAsia"/>
          <w:b w:val="0"/>
          <w:color w:val="000000"/>
          <w:sz w:val="32"/>
          <w:szCs w:val="32"/>
          <w:shd w:val="clear" w:color="auto" w:fill="FFFFFF"/>
        </w:rPr>
        <w:t>。</w:t>
      </w:r>
      <w:r w:rsidRPr="00E47BFA">
        <w:rPr>
          <w:rStyle w:val="ab"/>
          <w:rFonts w:ascii="Times New Roman" w:eastAsia="方正仿宋简体" w:hAnsi="Times New Roman" w:cs="Times New Roman"/>
          <w:b w:val="0"/>
          <w:color w:val="000000"/>
          <w:sz w:val="32"/>
          <w:szCs w:val="32"/>
          <w:shd w:val="clear" w:color="auto" w:fill="FFFFFF"/>
        </w:rPr>
        <w:t>投资涉</w:t>
      </w:r>
      <w:r>
        <w:rPr>
          <w:rStyle w:val="ab"/>
          <w:rFonts w:ascii="Times New Roman" w:eastAsia="方正仿宋简体" w:hAnsi="Times New Roman" w:cs="Times New Roman"/>
          <w:b w:val="0"/>
          <w:color w:val="000000"/>
          <w:sz w:val="32"/>
          <w:szCs w:val="32"/>
          <w:shd w:val="clear" w:color="auto" w:fill="FFFFFF"/>
        </w:rPr>
        <w:t>及自治区、兵团确定的重大项目的，以并购重组为投资目的的或参与国家级基金出资以及与知名管理机构合作设立子基金的，可不受</w:t>
      </w:r>
      <w:r>
        <w:rPr>
          <w:rStyle w:val="ab"/>
          <w:rFonts w:ascii="Times New Roman" w:eastAsia="方正仿宋简体" w:hAnsi="Times New Roman" w:cs="Times New Roman"/>
          <w:b w:val="0"/>
          <w:color w:val="000000"/>
          <w:sz w:val="32"/>
          <w:szCs w:val="32"/>
          <w:shd w:val="clear" w:color="auto" w:fill="FFFFFF"/>
        </w:rPr>
        <w:lastRenderedPageBreak/>
        <w:t>上述限制。</w:t>
      </w:r>
    </w:p>
    <w:p w14:paraId="0563AF4A"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cstheme="minorBidi"/>
          <w:b w:val="0"/>
          <w:color w:val="000000"/>
          <w:kern w:val="2"/>
          <w:sz w:val="32"/>
          <w:szCs w:val="32"/>
          <w:shd w:val="clear" w:color="auto" w:fill="FFFFFF"/>
        </w:rPr>
      </w:pPr>
    </w:p>
    <w:p w14:paraId="3182CC6D"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6" w:name="_Toc203415202"/>
      <w:r>
        <w:rPr>
          <w:rStyle w:val="ab"/>
          <w:rFonts w:ascii="方正黑体简体" w:eastAsia="方正黑体简体" w:hAnsi="Times New Roman"/>
          <w:b w:val="0"/>
          <w:color w:val="000000"/>
          <w:sz w:val="32"/>
          <w:szCs w:val="32"/>
          <w:shd w:val="clear" w:color="auto" w:fill="FFFFFF"/>
        </w:rPr>
        <w:t>第七章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基金退出</w:t>
      </w:r>
      <w:bookmarkEnd w:id="6"/>
    </w:p>
    <w:p w14:paraId="499C6293"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第三十五条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基金退出主要指采取股权转让、份额转让、减少资本或赎回份额等方式提前退出以及到期后清算，应按照</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利益共享、风险共担</w:t>
      </w:r>
      <w:r>
        <w:rPr>
          <w:rStyle w:val="ab"/>
          <w:rFonts w:ascii="Times New Roman" w:eastAsia="方正仿宋简体" w:hAnsi="Times New Roman"/>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的原则实施。</w:t>
      </w:r>
    </w:p>
    <w:p w14:paraId="3C57A65B" w14:textId="3103017F"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在基金章程中应该明确基金退出的方案、流程和条件，建立适时退出机制，严格退出程序，</w:t>
      </w:r>
      <w:r w:rsidRPr="00E47BFA">
        <w:rPr>
          <w:rStyle w:val="ab"/>
          <w:rFonts w:ascii="Times New Roman" w:eastAsia="方正仿宋简体" w:hAnsi="Times New Roman"/>
          <w:b w:val="0"/>
          <w:color w:val="000000"/>
          <w:sz w:val="32"/>
          <w:szCs w:val="32"/>
          <w:shd w:val="clear" w:color="auto" w:fill="FFFFFF"/>
        </w:rPr>
        <w:t>加强监管，避免</w:t>
      </w:r>
      <w:r>
        <w:rPr>
          <w:rStyle w:val="ab"/>
          <w:rFonts w:ascii="Times New Roman" w:eastAsia="方正仿宋简体" w:hAnsi="Times New Roman"/>
          <w:b w:val="0"/>
          <w:color w:val="000000"/>
          <w:sz w:val="32"/>
          <w:szCs w:val="32"/>
          <w:shd w:val="clear" w:color="auto" w:fill="FFFFFF"/>
        </w:rPr>
        <w:t>国有资产流失。基金存续期内，出现下述情况时，应当按照协议约定或与其他出资人协商，提前终止基金或以转让、赎回等方式退出基金：</w:t>
      </w:r>
    </w:p>
    <w:p w14:paraId="7E584FC3"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（一）按约定出资后超过一年，基金未开展投资业务的；</w:t>
      </w:r>
    </w:p>
    <w:p w14:paraId="5A84D41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（二）基金投资进度缓慢或资金长期闲置，且无法在短期内明显改善的；</w:t>
      </w:r>
    </w:p>
    <w:p w14:paraId="4D1D6CA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（三）基金投资策略发生重大调整，导致基金严重偏离投资目的的；</w:t>
      </w:r>
    </w:p>
    <w:p w14:paraId="4F3D587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（四）基金管理人资质出现重大问题，导致基金可能存在重大风险的；</w:t>
      </w:r>
    </w:p>
    <w:p w14:paraId="612A3DE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（五）企业因其他重大变化导致不再适宜继续持有基金的。</w:t>
      </w:r>
    </w:p>
    <w:p w14:paraId="1AA861B4"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第三十六条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基金进入退出期后，监管企业应当督促基金管理人做好基金清算准备工作，确保基金存续期满后及时清算。基金需延长存续期限的，应当履行相应决策程序后，依照基金章程约定的程序办理。</w:t>
      </w:r>
    </w:p>
    <w:p w14:paraId="61F2A468"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b w:val="0"/>
          <w:color w:val="000000"/>
          <w:sz w:val="32"/>
          <w:szCs w:val="32"/>
          <w:shd w:val="clear" w:color="auto" w:fill="FFFFFF"/>
        </w:rPr>
      </w:pPr>
    </w:p>
    <w:p w14:paraId="6E56E69C"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7" w:name="_Toc203415203"/>
      <w:r>
        <w:rPr>
          <w:rStyle w:val="ab"/>
          <w:rFonts w:ascii="方正黑体简体" w:eastAsia="方正黑体简体" w:hAnsi="Times New Roman"/>
          <w:b w:val="0"/>
          <w:color w:val="000000"/>
          <w:sz w:val="32"/>
          <w:szCs w:val="32"/>
          <w:shd w:val="clear" w:color="auto" w:fill="FFFFFF"/>
        </w:rPr>
        <w:t>第八章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基金管理的制度建设</w:t>
      </w:r>
      <w:bookmarkEnd w:id="7"/>
    </w:p>
    <w:p w14:paraId="6301FBEC"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hint="eastAsia"/>
          <w:b w:val="0"/>
          <w:color w:val="000000"/>
          <w:sz w:val="32"/>
          <w:szCs w:val="32"/>
          <w:shd w:val="clear" w:color="auto" w:fill="FFFFFF"/>
        </w:rPr>
        <w:t>第三十七条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监管企业应当在集团层面建立健全统一的基金管理制度，经董事会审议通过后，报送</w:t>
      </w:r>
      <w:r>
        <w:rPr>
          <w:rStyle w:val="ab"/>
          <w:rFonts w:ascii="Times New Roman" w:eastAsia="方正仿宋简体" w:hAnsi="Times New Roman" w:hint="eastAsia"/>
          <w:b w:val="0"/>
          <w:color w:val="000000"/>
          <w:sz w:val="32"/>
          <w:szCs w:val="32"/>
          <w:shd w:val="clear" w:color="auto" w:fill="FFFFFF"/>
        </w:rPr>
        <w:t>师市</w:t>
      </w:r>
      <w:r>
        <w:rPr>
          <w:rStyle w:val="ab"/>
          <w:rFonts w:ascii="Times New Roman" w:eastAsia="方正仿宋简体" w:hAnsi="Times New Roman"/>
          <w:b w:val="0"/>
          <w:color w:val="000000"/>
          <w:sz w:val="32"/>
          <w:szCs w:val="32"/>
          <w:shd w:val="clear" w:color="auto" w:fill="FFFFFF"/>
        </w:rPr>
        <w:t>财政局（国资委）备案。基金管理制度主要内容应当包括：</w:t>
      </w:r>
    </w:p>
    <w:p w14:paraId="75AFA990"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（一）基金业务遵循的基本原则；</w:t>
      </w:r>
    </w:p>
    <w:p w14:paraId="67F5F3D8"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（二）基金业务的组织架构、管理部门及职责；</w:t>
      </w:r>
    </w:p>
    <w:p w14:paraId="31C03B14"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（三）投资基金的决策程序、决策机构及其职责和权限；</w:t>
      </w:r>
    </w:p>
    <w:p w14:paraId="5469F11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（四）基金业务的风险管控制度；</w:t>
      </w:r>
    </w:p>
    <w:p w14:paraId="05CE168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（五）基金的考核评价和激励约束制度；</w:t>
      </w:r>
    </w:p>
    <w:p w14:paraId="1CD86A63"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（六）投资基金的投后管理与</w:t>
      </w:r>
      <w:r>
        <w:rPr>
          <w:rStyle w:val="ab"/>
          <w:rFonts w:ascii="Times New Roman" w:eastAsia="方正仿宋简体" w:hAnsi="Times New Roman" w:hint="eastAsia"/>
          <w:b w:val="0"/>
          <w:color w:val="000000"/>
          <w:sz w:val="32"/>
          <w:szCs w:val="32"/>
          <w:shd w:val="clear" w:color="auto" w:fill="FFFFFF"/>
        </w:rPr>
        <w:t>投</w:t>
      </w:r>
      <w:r>
        <w:rPr>
          <w:rStyle w:val="ab"/>
          <w:rFonts w:ascii="Times New Roman" w:eastAsia="方正仿宋简体" w:hAnsi="Times New Roman"/>
          <w:b w:val="0"/>
          <w:color w:val="000000"/>
          <w:sz w:val="32"/>
          <w:szCs w:val="32"/>
          <w:shd w:val="clear" w:color="auto" w:fill="FFFFFF"/>
        </w:rPr>
        <w:t>后评估制度；</w:t>
      </w:r>
    </w:p>
    <w:p w14:paraId="7AB9980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（七）违规责任追究制度；</w:t>
      </w:r>
    </w:p>
    <w:p w14:paraId="2A60DFC4"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（八）档案管理制度；</w:t>
      </w:r>
    </w:p>
    <w:p w14:paraId="3E63413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（九）其他应纳入基金管理制度体系的内容。</w:t>
      </w:r>
    </w:p>
    <w:p w14:paraId="6E361D6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hint="eastAsia"/>
          <w:b w:val="0"/>
          <w:color w:val="000000"/>
          <w:sz w:val="32"/>
          <w:szCs w:val="32"/>
          <w:shd w:val="clear" w:color="auto" w:fill="FFFFFF"/>
        </w:rPr>
        <w:t>第三十八条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监管企业应建立完善基金业务运营监测机制，指定专门机构和责任人，对实控基金管理人、监管企业及其子企业所投资基金的运营情况，定期做好跟踪监测。运营监测应当包括以下主要内容：</w:t>
      </w:r>
    </w:p>
    <w:p w14:paraId="1424701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（一）监测并评估实控基金管理人的经营活动状况，包括治理结构、财务状况、合规内控、人员履职等情况。</w:t>
      </w:r>
    </w:p>
    <w:p w14:paraId="1FDC014E"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（二）监测并评估所投资基金的管理情况，包括基金运营管理是否符合监管部门的导向和制度规范，是否按照会计准则及相</w:t>
      </w:r>
      <w:r>
        <w:rPr>
          <w:rStyle w:val="ab"/>
          <w:rFonts w:ascii="Times New Roman" w:eastAsia="方正仿宋简体" w:hAnsi="Times New Roman"/>
          <w:b w:val="0"/>
          <w:color w:val="000000"/>
          <w:sz w:val="32"/>
          <w:szCs w:val="32"/>
          <w:shd w:val="clear" w:color="auto" w:fill="FFFFFF"/>
        </w:rPr>
        <w:lastRenderedPageBreak/>
        <w:t>关法律、法规、规章等要求开展财务会计核算、年度审计和信息披露等，以及基金核心管理团队变化情况等。</w:t>
      </w:r>
    </w:p>
    <w:p w14:paraId="4D5E5097"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（三）监测并评估所投资基金的投资情况。对于政府投资基金，按照财政部门相关规定执行</w:t>
      </w:r>
      <w:r>
        <w:rPr>
          <w:rStyle w:val="ab"/>
          <w:rFonts w:ascii="Times New Roman" w:eastAsia="方正仿宋简体" w:hAnsi="Times New Roman" w:hint="eastAsia"/>
          <w:b w:val="0"/>
          <w:color w:val="000000"/>
          <w:sz w:val="32"/>
          <w:szCs w:val="32"/>
          <w:shd w:val="clear" w:color="auto" w:fill="FFFFFF"/>
        </w:rPr>
        <w:t>。</w:t>
      </w:r>
      <w:r>
        <w:rPr>
          <w:rStyle w:val="ab"/>
          <w:rFonts w:ascii="Times New Roman" w:eastAsia="方正仿宋简体" w:hAnsi="Times New Roman"/>
          <w:b w:val="0"/>
          <w:color w:val="000000"/>
          <w:sz w:val="32"/>
          <w:szCs w:val="32"/>
          <w:shd w:val="clear" w:color="auto" w:fill="FFFFFF"/>
        </w:rPr>
        <w:t>对于</w:t>
      </w:r>
      <w:r>
        <w:rPr>
          <w:rStyle w:val="ab"/>
          <w:rFonts w:ascii="Times New Roman" w:eastAsia="方正仿宋简体" w:hAnsi="Times New Roman" w:hint="eastAsia"/>
          <w:b w:val="0"/>
          <w:color w:val="000000"/>
          <w:sz w:val="32"/>
          <w:szCs w:val="32"/>
          <w:shd w:val="clear" w:color="auto" w:fill="FFFFFF"/>
        </w:rPr>
        <w:t>产业</w:t>
      </w:r>
      <w:r>
        <w:rPr>
          <w:rStyle w:val="ab"/>
          <w:rFonts w:ascii="Times New Roman" w:eastAsia="方正仿宋简体" w:hAnsi="Times New Roman"/>
          <w:b w:val="0"/>
          <w:color w:val="000000"/>
          <w:sz w:val="32"/>
          <w:szCs w:val="32"/>
          <w:shd w:val="clear" w:color="auto" w:fill="FFFFFF"/>
        </w:rPr>
        <w:t>投资基金，应当及时掌握基金投资进度、资金使用、项目估值等情况，监测区域、行业等投资方向是否符合投资策略。对于财务投资基金，应当定期监测基金估值情况、预期收益水平等。</w:t>
      </w:r>
    </w:p>
    <w:p w14:paraId="7B588098"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第三十九条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建立完善风险应对机制，及时处置运营监测中发现的违反法律法规或协议约定等问题，发现重大风险情况时，应当立即采取有效措施降低风险水平。具备条件的监管企业可以探索建立风险预警机制，逐步提高风险研判和风险防范能力。</w:t>
      </w:r>
    </w:p>
    <w:p w14:paraId="4F27C130"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建立完善风险报告机制，根据重要性和报告用途，明确各类报告的报送范围、报告内容，确保报告信息及报送频率满足管理需要。当实控基金管理人发生重大经营风险，基金发生重大资产损失，或出现其他可能严重损害企业声誉的情况时，监管企业应当及时将风险研判和处置情况向</w:t>
      </w:r>
      <w:r>
        <w:rPr>
          <w:rStyle w:val="ab"/>
          <w:rFonts w:ascii="Times New Roman" w:eastAsia="方正仿宋简体" w:hAnsi="Times New Roman" w:hint="eastAsia"/>
          <w:b w:val="0"/>
          <w:color w:val="000000"/>
          <w:sz w:val="32"/>
          <w:szCs w:val="32"/>
          <w:shd w:val="clear" w:color="auto" w:fill="FFFFFF"/>
        </w:rPr>
        <w:t>师</w:t>
      </w:r>
      <w:r>
        <w:rPr>
          <w:rStyle w:val="ab"/>
          <w:rFonts w:ascii="Times New Roman" w:eastAsia="方正仿宋简体" w:hAnsi="Times New Roman"/>
          <w:b w:val="0"/>
          <w:color w:val="000000"/>
          <w:sz w:val="32"/>
          <w:szCs w:val="32"/>
          <w:shd w:val="clear" w:color="auto" w:fill="FFFFFF"/>
        </w:rPr>
        <w:t>市财政局（国资委）和有关部门报告。</w:t>
      </w:r>
    </w:p>
    <w:p w14:paraId="5BEC6E98"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第四十一条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监管企业应当对实控基金管理人建立市场化、专业化的考核评价机制。</w:t>
      </w:r>
    </w:p>
    <w:p w14:paraId="09FCCB92"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（一）充分考虑基金运作的周期性规律，运用短期考核与中长期考核相结合的方式，客观、公正、全面评价实控基金管理人</w:t>
      </w:r>
      <w:r>
        <w:rPr>
          <w:rStyle w:val="ab"/>
          <w:rFonts w:ascii="Times New Roman" w:eastAsia="方正仿宋简体" w:hAnsi="Times New Roman"/>
          <w:b w:val="0"/>
          <w:color w:val="000000"/>
          <w:sz w:val="32"/>
          <w:szCs w:val="32"/>
          <w:shd w:val="clear" w:color="auto" w:fill="FFFFFF"/>
        </w:rPr>
        <w:lastRenderedPageBreak/>
        <w:t>经营目标实现程度、投资管理能力、风险管控水平等情况。</w:t>
      </w:r>
    </w:p>
    <w:p w14:paraId="1B35661C"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Times New Roman" w:eastAsia="方正仿宋简体" w:hAnsi="Times New Roman"/>
          <w:b w:val="0"/>
          <w:color w:val="000000"/>
          <w:sz w:val="32"/>
          <w:szCs w:val="32"/>
          <w:shd w:val="clear" w:color="auto" w:fill="FFFFFF"/>
        </w:rPr>
        <w:t>（二）坚持目标导向、效果导向，运用定量考核与定性评价相结合的方式，构建多维度综合考评体系，突出各类基金的差异化特点。政府投资基金，以政府部门的评价结果为主要依据。</w:t>
      </w:r>
      <w:r>
        <w:rPr>
          <w:rStyle w:val="ab"/>
          <w:rFonts w:ascii="Times New Roman" w:eastAsia="方正仿宋简体" w:hAnsi="Times New Roman" w:hint="eastAsia"/>
          <w:b w:val="0"/>
          <w:color w:val="000000"/>
          <w:sz w:val="32"/>
          <w:szCs w:val="32"/>
          <w:shd w:val="clear" w:color="auto" w:fill="FFFFFF"/>
        </w:rPr>
        <w:t>产业</w:t>
      </w:r>
      <w:r>
        <w:rPr>
          <w:rStyle w:val="ab"/>
          <w:rFonts w:ascii="Times New Roman" w:eastAsia="方正仿宋简体" w:hAnsi="Times New Roman"/>
          <w:b w:val="0"/>
          <w:color w:val="000000"/>
          <w:sz w:val="32"/>
          <w:szCs w:val="32"/>
          <w:shd w:val="clear" w:color="auto" w:fill="FFFFFF"/>
        </w:rPr>
        <w:t>投资基金，重点评价服务集团战略成效、实现基金设立目标的完成情况。财务投资基金，重点评价基金投资收益情况、资金使用效率情况，以及资金安全等风险防范情况。</w:t>
      </w:r>
    </w:p>
    <w:p w14:paraId="0224254A"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第四十二条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监管企业应对实控基金管理人建立市场化激励约束机制，建立完善基金管理团队的绩效考核体系、薪酬分配制度和实施程序。</w:t>
      </w:r>
    </w:p>
    <w:p w14:paraId="1763B014" w14:textId="77777777" w:rsidR="001449C6" w:rsidRDefault="001449C6" w:rsidP="007D3874">
      <w:pPr>
        <w:pStyle w:val="a8"/>
        <w:spacing w:beforeAutospacing="0" w:afterAutospacing="0" w:line="560" w:lineRule="exact"/>
        <w:jc w:val="center"/>
        <w:outlineLvl w:val="0"/>
        <w:rPr>
          <w:rStyle w:val="ab"/>
          <w:rFonts w:ascii="Times New Roman" w:eastAsia="方正仿宋简体" w:hAnsi="Times New Roman"/>
          <w:b w:val="0"/>
          <w:color w:val="000000"/>
          <w:sz w:val="32"/>
          <w:szCs w:val="32"/>
          <w:shd w:val="clear" w:color="auto" w:fill="FFFFFF"/>
        </w:rPr>
      </w:pPr>
    </w:p>
    <w:p w14:paraId="687B0940"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8" w:name="_Toc203415204"/>
      <w:r>
        <w:rPr>
          <w:rStyle w:val="ab"/>
          <w:rFonts w:ascii="方正黑体简体" w:eastAsia="方正黑体简体" w:hAnsi="Times New Roman"/>
          <w:b w:val="0"/>
          <w:color w:val="000000"/>
          <w:sz w:val="32"/>
          <w:szCs w:val="32"/>
          <w:shd w:val="clear" w:color="auto" w:fill="FFFFFF"/>
        </w:rPr>
        <w:t>第九章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监督检查与责任追究</w:t>
      </w:r>
      <w:bookmarkEnd w:id="8"/>
    </w:p>
    <w:p w14:paraId="4F5B1E3B"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第四十三条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监管企业及其子企业应当按照《企业会计准则》及其他相关规定规范基金业务的财务会计核算，对符合会计准则并表条件的实控基金管理人或基金，应当纳入合并范围。</w:t>
      </w:r>
    </w:p>
    <w:p w14:paraId="203E8D50"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第四十四条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监管企业应当加强基金业务的审计和专项检查，重点关注基金管理制度的建设和执行情况、基金运营监测机制的运行情况，以及相关人员的履职情况，发现问题应及时督促整改。</w:t>
      </w:r>
    </w:p>
    <w:p w14:paraId="301CAEA5"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第四十五条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监管企业及其子企业应当建立基金项目专项档案，加强档案管理。基金专项档案应当包括各类决策文件、章程协议、运行情况、交易情况等相关文件资料。</w:t>
      </w:r>
    </w:p>
    <w:p w14:paraId="0AC92CE9"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lastRenderedPageBreak/>
        <w:t>第四十六条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基金投资项目在其基本退出后，需开展后评价。后评价的重点为企业基金项目的经济效益和社会效益、资金使用情况、基金的投资项目及回购情况，以及企业基金投资流程的合规性，基金投资是否实现原可研报告的预期等。</w:t>
      </w:r>
    </w:p>
    <w:p w14:paraId="27AF0593" w14:textId="7F59ABD5"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第四十七条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监管企业及其子企业管理人员违反本办法规定，未履行或未正确履行职责，造成资产损失或其他不良后果的，</w:t>
      </w:r>
      <w:r>
        <w:rPr>
          <w:rStyle w:val="ab"/>
          <w:rFonts w:ascii="Times New Roman" w:eastAsia="方正仿宋简体" w:hAnsi="Times New Roman" w:hint="eastAsia"/>
          <w:b w:val="0"/>
          <w:color w:val="000000"/>
          <w:sz w:val="32"/>
          <w:szCs w:val="32"/>
          <w:shd w:val="clear" w:color="auto" w:fill="FFFFFF"/>
        </w:rPr>
        <w:t>师</w:t>
      </w:r>
      <w:r>
        <w:rPr>
          <w:rStyle w:val="ab"/>
          <w:rFonts w:ascii="Times New Roman" w:eastAsia="方正仿宋简体" w:hAnsi="Times New Roman"/>
          <w:b w:val="0"/>
          <w:color w:val="000000"/>
          <w:sz w:val="32"/>
          <w:szCs w:val="32"/>
          <w:shd w:val="clear" w:color="auto" w:fill="FFFFFF"/>
        </w:rPr>
        <w:t>市财政局（国资委）</w:t>
      </w:r>
      <w:r w:rsidR="00954F4F">
        <w:rPr>
          <w:rStyle w:val="ab"/>
          <w:rFonts w:ascii="Times New Roman" w:eastAsia="方正仿宋简体" w:hAnsi="Times New Roman" w:hint="eastAsia"/>
          <w:b w:val="0"/>
          <w:color w:val="000000"/>
          <w:sz w:val="32"/>
          <w:szCs w:val="32"/>
          <w:shd w:val="clear" w:color="auto" w:fill="FFFFFF"/>
        </w:rPr>
        <w:t>依据</w:t>
      </w:r>
      <w:r>
        <w:rPr>
          <w:rStyle w:val="ab"/>
          <w:rFonts w:ascii="Times New Roman" w:eastAsia="方正仿宋简体" w:hAnsi="Times New Roman" w:hint="eastAsia"/>
          <w:b w:val="0"/>
          <w:color w:val="000000"/>
          <w:sz w:val="32"/>
          <w:szCs w:val="32"/>
          <w:shd w:val="clear" w:color="auto" w:fill="FFFFFF"/>
        </w:rPr>
        <w:t>《十三师国资委监管企业违规经营投资责任追究办法（试行）》</w:t>
      </w:r>
      <w:r>
        <w:rPr>
          <w:rStyle w:val="ab"/>
          <w:rFonts w:ascii="Times New Roman" w:eastAsia="方正仿宋简体" w:hAnsi="Times New Roman"/>
          <w:b w:val="0"/>
          <w:color w:val="000000"/>
          <w:sz w:val="32"/>
          <w:szCs w:val="32"/>
          <w:shd w:val="clear" w:color="auto" w:fill="FFFFFF"/>
        </w:rPr>
        <w:t>等规定，追究有关人员责任。</w:t>
      </w:r>
    </w:p>
    <w:p w14:paraId="708DB97A"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第四十八条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对有关单位和个人在开展基金业务过程中勤勉尽责、未谋私利，因政策界限不明确等原因未实现预期效果，出现失误或造成一定负面影响、损失的，根据</w:t>
      </w:r>
      <w:r>
        <w:rPr>
          <w:rStyle w:val="ab"/>
          <w:rFonts w:ascii="Times New Roman" w:eastAsia="方正仿宋简体" w:hAnsi="Times New Roman" w:hint="eastAsia"/>
          <w:b w:val="0"/>
          <w:color w:val="000000"/>
          <w:sz w:val="32"/>
          <w:szCs w:val="32"/>
          <w:shd w:val="clear" w:color="auto" w:fill="FFFFFF"/>
        </w:rPr>
        <w:t>有关</w:t>
      </w:r>
      <w:r>
        <w:rPr>
          <w:rStyle w:val="ab"/>
          <w:rFonts w:ascii="Times New Roman" w:eastAsia="方正仿宋简体" w:hAnsi="Times New Roman"/>
          <w:b w:val="0"/>
          <w:color w:val="000000"/>
          <w:sz w:val="32"/>
          <w:szCs w:val="32"/>
          <w:shd w:val="clear" w:color="auto" w:fill="FFFFFF"/>
        </w:rPr>
        <w:t>规定，不作负面评价或予以免责、减轻、从轻等处理。</w:t>
      </w:r>
      <w:r>
        <w:rPr>
          <w:rStyle w:val="ab"/>
          <w:rFonts w:ascii="Times New Roman" w:eastAsia="方正仿宋简体" w:hAnsi="Times New Roman" w:hint="eastAsia"/>
          <w:b w:val="0"/>
          <w:color w:val="000000"/>
          <w:sz w:val="32"/>
          <w:szCs w:val="32"/>
          <w:shd w:val="clear" w:color="auto" w:fill="FFFFFF"/>
        </w:rPr>
        <w:t>勤勉尽职指相关人员已履行法律法规、规章及企业内部制度规定的职责，开展了充分的调研、论证和风险评估，且无滥用职权、徇私舞弊等行为。</w:t>
      </w:r>
    </w:p>
    <w:p w14:paraId="0B4FFB42" w14:textId="77777777" w:rsidR="001449C6" w:rsidRDefault="001449C6" w:rsidP="007D3874">
      <w:pPr>
        <w:pStyle w:val="a8"/>
        <w:spacing w:beforeAutospacing="0" w:afterAutospacing="0" w:line="560" w:lineRule="exact"/>
        <w:jc w:val="both"/>
        <w:outlineLvl w:val="0"/>
        <w:rPr>
          <w:rStyle w:val="ab"/>
          <w:rFonts w:ascii="Times New Roman" w:eastAsia="方正仿宋简体" w:hAnsi="Times New Roman"/>
          <w:b w:val="0"/>
          <w:color w:val="000000"/>
          <w:sz w:val="32"/>
          <w:szCs w:val="32"/>
          <w:shd w:val="clear" w:color="auto" w:fill="FFFFFF"/>
        </w:rPr>
      </w:pPr>
    </w:p>
    <w:p w14:paraId="4CFB21C4" w14:textId="77777777" w:rsidR="001449C6" w:rsidRDefault="00000000" w:rsidP="007D3874">
      <w:pPr>
        <w:pStyle w:val="a8"/>
        <w:spacing w:beforeAutospacing="0" w:afterAutospacing="0" w:line="560" w:lineRule="exact"/>
        <w:jc w:val="center"/>
        <w:outlineLvl w:val="0"/>
        <w:rPr>
          <w:rStyle w:val="ab"/>
          <w:rFonts w:ascii="方正黑体简体" w:eastAsia="方正黑体简体" w:hAnsi="Times New Roman"/>
          <w:b w:val="0"/>
          <w:color w:val="000000"/>
          <w:sz w:val="32"/>
          <w:szCs w:val="32"/>
          <w:shd w:val="clear" w:color="auto" w:fill="FFFFFF"/>
        </w:rPr>
      </w:pPr>
      <w:bookmarkStart w:id="9" w:name="_Toc203415205"/>
      <w:r>
        <w:rPr>
          <w:rStyle w:val="ab"/>
          <w:rFonts w:ascii="方正黑体简体" w:eastAsia="方正黑体简体" w:hAnsi="Times New Roman"/>
          <w:b w:val="0"/>
          <w:color w:val="000000"/>
          <w:sz w:val="32"/>
          <w:szCs w:val="32"/>
          <w:shd w:val="clear" w:color="auto" w:fill="FFFFFF"/>
        </w:rPr>
        <w:t>第十章</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方正黑体简体" w:eastAsia="方正黑体简体" w:hAnsi="Times New Roman"/>
          <w:b w:val="0"/>
          <w:color w:val="000000"/>
          <w:sz w:val="32"/>
          <w:szCs w:val="32"/>
          <w:shd w:val="clear" w:color="auto" w:fill="FFFFFF"/>
        </w:rPr>
        <w:t>附则</w:t>
      </w:r>
      <w:bookmarkEnd w:id="9"/>
    </w:p>
    <w:p w14:paraId="7B6DA61B"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第四十</w:t>
      </w:r>
      <w:r>
        <w:rPr>
          <w:rStyle w:val="ab"/>
          <w:rFonts w:ascii="方正黑体简体" w:eastAsia="方正黑体简体" w:hAnsi="Times New Roman" w:hint="eastAsia"/>
          <w:b w:val="0"/>
          <w:color w:val="000000"/>
          <w:sz w:val="32"/>
          <w:szCs w:val="32"/>
          <w:shd w:val="clear" w:color="auto" w:fill="FFFFFF"/>
        </w:rPr>
        <w:t>九</w:t>
      </w:r>
      <w:r>
        <w:rPr>
          <w:rStyle w:val="ab"/>
          <w:rFonts w:ascii="方正黑体简体" w:eastAsia="方正黑体简体" w:hAnsi="Times New Roman"/>
          <w:b w:val="0"/>
          <w:color w:val="000000"/>
          <w:sz w:val="32"/>
          <w:szCs w:val="32"/>
          <w:shd w:val="clear" w:color="auto" w:fill="FFFFFF"/>
        </w:rPr>
        <w:t>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本办法由</w:t>
      </w:r>
      <w:r>
        <w:rPr>
          <w:rStyle w:val="ab"/>
          <w:rFonts w:ascii="Times New Roman" w:eastAsia="方正仿宋简体" w:hAnsi="Times New Roman" w:hint="eastAsia"/>
          <w:b w:val="0"/>
          <w:color w:val="000000"/>
          <w:sz w:val="32"/>
          <w:szCs w:val="32"/>
          <w:shd w:val="clear" w:color="auto" w:fill="FFFFFF"/>
        </w:rPr>
        <w:t>师市</w:t>
      </w:r>
      <w:r>
        <w:rPr>
          <w:rStyle w:val="ab"/>
          <w:rFonts w:ascii="Times New Roman" w:eastAsia="方正仿宋简体" w:hAnsi="Times New Roman"/>
          <w:b w:val="0"/>
          <w:color w:val="000000"/>
          <w:sz w:val="32"/>
          <w:szCs w:val="32"/>
          <w:shd w:val="clear" w:color="auto" w:fill="FFFFFF"/>
        </w:rPr>
        <w:t>财政局（国资委）负责解释。</w:t>
      </w:r>
    </w:p>
    <w:p w14:paraId="04BF1B88"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w:t>
      </w:r>
      <w:r>
        <w:rPr>
          <w:rStyle w:val="ab"/>
          <w:rFonts w:ascii="方正黑体简体" w:eastAsia="方正黑体简体" w:hAnsi="Times New Roman" w:hint="eastAsia"/>
          <w:b w:val="0"/>
          <w:color w:val="000000"/>
          <w:sz w:val="32"/>
          <w:szCs w:val="32"/>
          <w:shd w:val="clear" w:color="auto" w:fill="FFFFFF"/>
        </w:rPr>
        <w:t>五十</w:t>
      </w:r>
      <w:r>
        <w:rPr>
          <w:rStyle w:val="ab"/>
          <w:rFonts w:ascii="方正黑体简体" w:eastAsia="方正黑体简体" w:hAnsi="Times New Roman"/>
          <w:b w:val="0"/>
          <w:color w:val="000000"/>
          <w:sz w:val="32"/>
          <w:szCs w:val="32"/>
          <w:shd w:val="clear" w:color="auto" w:fill="FFFFFF"/>
        </w:rPr>
        <w:t>条</w:t>
      </w:r>
      <w:r>
        <w:rPr>
          <w:rStyle w:val="ab"/>
          <w:rFonts w:ascii="方正黑体简体" w:eastAsia="方正黑体简体" w:hAnsi="Times New Roman" w:hint="eastAsia"/>
          <w:b w:val="0"/>
          <w:color w:val="000000"/>
          <w:sz w:val="32"/>
          <w:szCs w:val="32"/>
          <w:shd w:val="clear" w:color="auto" w:fill="FFFFFF"/>
        </w:rPr>
        <w:t xml:space="preserve"> </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法律、法规和中国证券投资基金业协会等对基金有专门规定的，从其规定。政府投资基金根据财政部门相关规定执行。</w:t>
      </w:r>
      <w:r w:rsidRPr="00E47BFA">
        <w:rPr>
          <w:rStyle w:val="ab"/>
          <w:rFonts w:ascii="Times New Roman" w:eastAsia="方正仿宋简体" w:hAnsi="Times New Roman"/>
          <w:b w:val="0"/>
          <w:color w:val="000000"/>
          <w:sz w:val="32"/>
          <w:szCs w:val="32"/>
          <w:shd w:val="clear" w:color="auto" w:fill="FFFFFF"/>
        </w:rPr>
        <w:t>境外基金应当遵守所在国家（地区）法律、法规的有关规定。</w:t>
      </w:r>
    </w:p>
    <w:p w14:paraId="57946B0D" w14:textId="77777777" w:rsidR="001449C6" w:rsidRDefault="00000000" w:rsidP="007D3874">
      <w:pPr>
        <w:pStyle w:val="a8"/>
        <w:spacing w:beforeAutospacing="0" w:afterAutospacing="0" w:line="560" w:lineRule="exact"/>
        <w:ind w:firstLineChars="200" w:firstLine="640"/>
        <w:jc w:val="both"/>
        <w:rPr>
          <w:rStyle w:val="ab"/>
          <w:rFonts w:ascii="Times New Roman" w:eastAsia="方正仿宋简体" w:hAnsi="Times New Roman"/>
          <w:b w:val="0"/>
          <w:color w:val="000000"/>
          <w:sz w:val="32"/>
          <w:szCs w:val="32"/>
          <w:shd w:val="clear" w:color="auto" w:fill="FFFFFF"/>
        </w:rPr>
      </w:pPr>
      <w:r>
        <w:rPr>
          <w:rStyle w:val="ab"/>
          <w:rFonts w:ascii="方正黑体简体" w:eastAsia="方正黑体简体" w:hAnsi="Times New Roman"/>
          <w:b w:val="0"/>
          <w:color w:val="000000"/>
          <w:sz w:val="32"/>
          <w:szCs w:val="32"/>
          <w:shd w:val="clear" w:color="auto" w:fill="FFFFFF"/>
        </w:rPr>
        <w:t>第</w:t>
      </w:r>
      <w:r>
        <w:rPr>
          <w:rStyle w:val="ab"/>
          <w:rFonts w:ascii="方正黑体简体" w:eastAsia="方正黑体简体" w:hAnsi="Times New Roman" w:hint="eastAsia"/>
          <w:b w:val="0"/>
          <w:color w:val="000000"/>
          <w:sz w:val="32"/>
          <w:szCs w:val="32"/>
          <w:shd w:val="clear" w:color="auto" w:fill="FFFFFF"/>
        </w:rPr>
        <w:t>五十一</w:t>
      </w:r>
      <w:r>
        <w:rPr>
          <w:rStyle w:val="ab"/>
          <w:rFonts w:ascii="方正黑体简体" w:eastAsia="方正黑体简体" w:hAnsi="Times New Roman"/>
          <w:b w:val="0"/>
          <w:color w:val="000000"/>
          <w:sz w:val="32"/>
          <w:szCs w:val="32"/>
          <w:shd w:val="clear" w:color="auto" w:fill="FFFFFF"/>
        </w:rPr>
        <w:t>条</w:t>
      </w:r>
      <w:r>
        <w:rPr>
          <w:rStyle w:val="ab"/>
          <w:rFonts w:ascii="Times New Roman" w:eastAsia="仿宋_GB2312" w:hAnsi="Times New Roman" w:hint="eastAsia"/>
          <w:b w:val="0"/>
          <w:color w:val="000000"/>
          <w:sz w:val="32"/>
          <w:szCs w:val="32"/>
          <w:shd w:val="clear" w:color="auto" w:fill="FFFFFF"/>
        </w:rPr>
        <w:t xml:space="preserve">  </w:t>
      </w:r>
      <w:r>
        <w:rPr>
          <w:rStyle w:val="ab"/>
          <w:rFonts w:ascii="Times New Roman" w:eastAsia="方正仿宋简体" w:hAnsi="Times New Roman"/>
          <w:b w:val="0"/>
          <w:color w:val="000000"/>
          <w:sz w:val="32"/>
          <w:szCs w:val="32"/>
          <w:shd w:val="clear" w:color="auto" w:fill="FFFFFF"/>
        </w:rPr>
        <w:t>本办法自印发之日起执行。</w:t>
      </w:r>
      <w:r>
        <w:rPr>
          <w:rStyle w:val="ab"/>
          <w:rFonts w:ascii="Times New Roman" w:eastAsia="方正仿宋简体" w:hAnsi="Times New Roman" w:hint="eastAsia"/>
          <w:b w:val="0"/>
          <w:color w:val="000000"/>
          <w:sz w:val="32"/>
          <w:szCs w:val="32"/>
          <w:shd w:val="clear" w:color="auto" w:fill="FFFFFF"/>
        </w:rPr>
        <w:t>原《十三师产业引</w:t>
      </w:r>
      <w:r>
        <w:rPr>
          <w:rStyle w:val="ab"/>
          <w:rFonts w:ascii="Times New Roman" w:eastAsia="方正仿宋简体" w:hAnsi="Times New Roman" w:hint="eastAsia"/>
          <w:b w:val="0"/>
          <w:color w:val="000000"/>
          <w:sz w:val="32"/>
          <w:szCs w:val="32"/>
          <w:shd w:val="clear" w:color="auto" w:fill="FFFFFF"/>
        </w:rPr>
        <w:lastRenderedPageBreak/>
        <w:t>导基金管理办法（试行）》（师发〔</w:t>
      </w:r>
      <w:r>
        <w:rPr>
          <w:rStyle w:val="ab"/>
          <w:rFonts w:ascii="Times New Roman" w:eastAsia="方正仿宋简体" w:hAnsi="Times New Roman" w:hint="eastAsia"/>
          <w:b w:val="0"/>
          <w:color w:val="000000"/>
          <w:sz w:val="32"/>
          <w:szCs w:val="32"/>
          <w:shd w:val="clear" w:color="auto" w:fill="FFFFFF"/>
        </w:rPr>
        <w:t>2020</w:t>
      </w:r>
      <w:r>
        <w:rPr>
          <w:rStyle w:val="ab"/>
          <w:rFonts w:ascii="Times New Roman" w:eastAsia="方正仿宋简体" w:hAnsi="Times New Roman" w:hint="eastAsia"/>
          <w:b w:val="0"/>
          <w:color w:val="000000"/>
          <w:sz w:val="32"/>
          <w:szCs w:val="32"/>
          <w:shd w:val="clear" w:color="auto" w:fill="FFFFFF"/>
        </w:rPr>
        <w:t>〕</w:t>
      </w:r>
      <w:r>
        <w:rPr>
          <w:rStyle w:val="ab"/>
          <w:rFonts w:ascii="Times New Roman" w:eastAsia="方正仿宋简体" w:hAnsi="Times New Roman" w:hint="eastAsia"/>
          <w:b w:val="0"/>
          <w:color w:val="000000"/>
          <w:sz w:val="32"/>
          <w:szCs w:val="32"/>
          <w:shd w:val="clear" w:color="auto" w:fill="FFFFFF"/>
        </w:rPr>
        <w:t>39</w:t>
      </w:r>
      <w:r>
        <w:rPr>
          <w:rStyle w:val="ab"/>
          <w:rFonts w:ascii="Times New Roman" w:eastAsia="方正仿宋简体" w:hAnsi="Times New Roman" w:hint="eastAsia"/>
          <w:b w:val="0"/>
          <w:color w:val="000000"/>
          <w:sz w:val="32"/>
          <w:szCs w:val="32"/>
          <w:shd w:val="clear" w:color="auto" w:fill="FFFFFF"/>
        </w:rPr>
        <w:t>号）同时废止。</w:t>
      </w:r>
    </w:p>
    <w:sectPr w:rsidR="001449C6">
      <w:footerReference w:type="even" r:id="rId6"/>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6E8A" w14:textId="77777777" w:rsidR="00431B8A" w:rsidRDefault="00431B8A">
      <w:r>
        <w:separator/>
      </w:r>
    </w:p>
  </w:endnote>
  <w:endnote w:type="continuationSeparator" w:id="0">
    <w:p w14:paraId="5B064172" w14:textId="77777777" w:rsidR="00431B8A" w:rsidRDefault="0043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544242"/>
    </w:sdtPr>
    <w:sdtContent>
      <w:p w14:paraId="58EE1D77" w14:textId="77777777" w:rsidR="001449C6" w:rsidRDefault="00000000">
        <w:pPr>
          <w:pStyle w:val="a5"/>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272FF6F2" w14:textId="77777777" w:rsidR="001449C6" w:rsidRDefault="001449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10529"/>
    </w:sdtPr>
    <w:sdtContent>
      <w:p w14:paraId="6682438B" w14:textId="77777777" w:rsidR="001449C6" w:rsidRDefault="00000000">
        <w:pPr>
          <w:pStyle w:val="a5"/>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37CB6201" w14:textId="77777777" w:rsidR="001449C6" w:rsidRDefault="00144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1612" w14:textId="77777777" w:rsidR="00431B8A" w:rsidRDefault="00431B8A">
      <w:r>
        <w:separator/>
      </w:r>
    </w:p>
  </w:footnote>
  <w:footnote w:type="continuationSeparator" w:id="0">
    <w:p w14:paraId="3C4CD709" w14:textId="77777777" w:rsidR="00431B8A" w:rsidRDefault="00431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BDB"/>
    <w:rsid w:val="00015167"/>
    <w:rsid w:val="00015CAE"/>
    <w:rsid w:val="00060653"/>
    <w:rsid w:val="000713AA"/>
    <w:rsid w:val="0007737B"/>
    <w:rsid w:val="000A5FB6"/>
    <w:rsid w:val="000C2C41"/>
    <w:rsid w:val="000C7386"/>
    <w:rsid w:val="000D549A"/>
    <w:rsid w:val="000D5EF3"/>
    <w:rsid w:val="000D68AA"/>
    <w:rsid w:val="000E5D00"/>
    <w:rsid w:val="00100023"/>
    <w:rsid w:val="0011285D"/>
    <w:rsid w:val="001449C6"/>
    <w:rsid w:val="00153809"/>
    <w:rsid w:val="00163554"/>
    <w:rsid w:val="00166A53"/>
    <w:rsid w:val="00173BC1"/>
    <w:rsid w:val="00194837"/>
    <w:rsid w:val="00196357"/>
    <w:rsid w:val="001A0BD5"/>
    <w:rsid w:val="001A5455"/>
    <w:rsid w:val="001B4ED9"/>
    <w:rsid w:val="001B5D0B"/>
    <w:rsid w:val="001B7F31"/>
    <w:rsid w:val="001E5A32"/>
    <w:rsid w:val="001F35DA"/>
    <w:rsid w:val="00232341"/>
    <w:rsid w:val="00232592"/>
    <w:rsid w:val="002328E9"/>
    <w:rsid w:val="002868D5"/>
    <w:rsid w:val="00293336"/>
    <w:rsid w:val="00297308"/>
    <w:rsid w:val="002A2418"/>
    <w:rsid w:val="002A3C75"/>
    <w:rsid w:val="002A5EBE"/>
    <w:rsid w:val="002D410C"/>
    <w:rsid w:val="00324A91"/>
    <w:rsid w:val="0037125F"/>
    <w:rsid w:val="00371DD4"/>
    <w:rsid w:val="00373E04"/>
    <w:rsid w:val="003C16ED"/>
    <w:rsid w:val="003D349E"/>
    <w:rsid w:val="003E0631"/>
    <w:rsid w:val="003E4B1A"/>
    <w:rsid w:val="003E6A81"/>
    <w:rsid w:val="004057C9"/>
    <w:rsid w:val="00417B81"/>
    <w:rsid w:val="00420F17"/>
    <w:rsid w:val="00423268"/>
    <w:rsid w:val="00426B11"/>
    <w:rsid w:val="00426EFB"/>
    <w:rsid w:val="00431B8A"/>
    <w:rsid w:val="004443E7"/>
    <w:rsid w:val="0045093C"/>
    <w:rsid w:val="00470C59"/>
    <w:rsid w:val="0049485D"/>
    <w:rsid w:val="004E187D"/>
    <w:rsid w:val="004E608D"/>
    <w:rsid w:val="00503E01"/>
    <w:rsid w:val="00577384"/>
    <w:rsid w:val="00580BDB"/>
    <w:rsid w:val="00586ED4"/>
    <w:rsid w:val="005A0425"/>
    <w:rsid w:val="005F0F27"/>
    <w:rsid w:val="005F326B"/>
    <w:rsid w:val="00624E46"/>
    <w:rsid w:val="00636156"/>
    <w:rsid w:val="00646FA5"/>
    <w:rsid w:val="0065353A"/>
    <w:rsid w:val="00653853"/>
    <w:rsid w:val="006635EC"/>
    <w:rsid w:val="006819EA"/>
    <w:rsid w:val="0069275B"/>
    <w:rsid w:val="006935C2"/>
    <w:rsid w:val="006A6C46"/>
    <w:rsid w:val="006B344D"/>
    <w:rsid w:val="006C07E2"/>
    <w:rsid w:val="006F6FAE"/>
    <w:rsid w:val="00741DEB"/>
    <w:rsid w:val="00747CC4"/>
    <w:rsid w:val="007956E3"/>
    <w:rsid w:val="007C598E"/>
    <w:rsid w:val="007D3874"/>
    <w:rsid w:val="007E53D7"/>
    <w:rsid w:val="007F2C6D"/>
    <w:rsid w:val="007F4628"/>
    <w:rsid w:val="0082296D"/>
    <w:rsid w:val="008258C6"/>
    <w:rsid w:val="00830E58"/>
    <w:rsid w:val="00846D0A"/>
    <w:rsid w:val="00861183"/>
    <w:rsid w:val="00862FBD"/>
    <w:rsid w:val="008763D4"/>
    <w:rsid w:val="008763FF"/>
    <w:rsid w:val="008A307C"/>
    <w:rsid w:val="008A77DD"/>
    <w:rsid w:val="008B5016"/>
    <w:rsid w:val="008D31FD"/>
    <w:rsid w:val="009053EA"/>
    <w:rsid w:val="00906CDC"/>
    <w:rsid w:val="00921712"/>
    <w:rsid w:val="00926841"/>
    <w:rsid w:val="00932089"/>
    <w:rsid w:val="00953243"/>
    <w:rsid w:val="00954F4F"/>
    <w:rsid w:val="00962E9E"/>
    <w:rsid w:val="009B37EB"/>
    <w:rsid w:val="009B7EE0"/>
    <w:rsid w:val="009D64D2"/>
    <w:rsid w:val="009D771C"/>
    <w:rsid w:val="009F596A"/>
    <w:rsid w:val="00A135D1"/>
    <w:rsid w:val="00A3150E"/>
    <w:rsid w:val="00A329F7"/>
    <w:rsid w:val="00A34591"/>
    <w:rsid w:val="00A7332B"/>
    <w:rsid w:val="00A82B5C"/>
    <w:rsid w:val="00AA00B4"/>
    <w:rsid w:val="00AA0FC0"/>
    <w:rsid w:val="00AA70CF"/>
    <w:rsid w:val="00AD0FEC"/>
    <w:rsid w:val="00AD178D"/>
    <w:rsid w:val="00AD2564"/>
    <w:rsid w:val="00AE692E"/>
    <w:rsid w:val="00AF04BF"/>
    <w:rsid w:val="00B06EAD"/>
    <w:rsid w:val="00B12395"/>
    <w:rsid w:val="00B124EC"/>
    <w:rsid w:val="00B21208"/>
    <w:rsid w:val="00B329E8"/>
    <w:rsid w:val="00B4133B"/>
    <w:rsid w:val="00B56529"/>
    <w:rsid w:val="00B818A6"/>
    <w:rsid w:val="00B9764F"/>
    <w:rsid w:val="00BA3C02"/>
    <w:rsid w:val="00BB2F45"/>
    <w:rsid w:val="00BC62F3"/>
    <w:rsid w:val="00BC7B26"/>
    <w:rsid w:val="00BE68F3"/>
    <w:rsid w:val="00BF2D8D"/>
    <w:rsid w:val="00C06C19"/>
    <w:rsid w:val="00C13C20"/>
    <w:rsid w:val="00C921B8"/>
    <w:rsid w:val="00C94D65"/>
    <w:rsid w:val="00CB08C3"/>
    <w:rsid w:val="00CC68B4"/>
    <w:rsid w:val="00D06B5D"/>
    <w:rsid w:val="00D65AB5"/>
    <w:rsid w:val="00D876A0"/>
    <w:rsid w:val="00D93BED"/>
    <w:rsid w:val="00DA5871"/>
    <w:rsid w:val="00DD64CD"/>
    <w:rsid w:val="00DE3766"/>
    <w:rsid w:val="00DF4A7B"/>
    <w:rsid w:val="00DF5502"/>
    <w:rsid w:val="00E11586"/>
    <w:rsid w:val="00E20955"/>
    <w:rsid w:val="00E22BDB"/>
    <w:rsid w:val="00E27E26"/>
    <w:rsid w:val="00E3635D"/>
    <w:rsid w:val="00E40E16"/>
    <w:rsid w:val="00E47BFA"/>
    <w:rsid w:val="00E57E89"/>
    <w:rsid w:val="00E8226B"/>
    <w:rsid w:val="00EA2C14"/>
    <w:rsid w:val="00EB51A9"/>
    <w:rsid w:val="00EC76AD"/>
    <w:rsid w:val="00EC7A9C"/>
    <w:rsid w:val="00ED12FF"/>
    <w:rsid w:val="00ED5723"/>
    <w:rsid w:val="00F000A6"/>
    <w:rsid w:val="00F03248"/>
    <w:rsid w:val="00F04D3A"/>
    <w:rsid w:val="00F118BD"/>
    <w:rsid w:val="00F53FE6"/>
    <w:rsid w:val="00F65AF1"/>
    <w:rsid w:val="00F82C36"/>
    <w:rsid w:val="00F865F3"/>
    <w:rsid w:val="00FD0876"/>
    <w:rsid w:val="00FF389A"/>
    <w:rsid w:val="00FF72B8"/>
    <w:rsid w:val="11DB043E"/>
    <w:rsid w:val="18E07099"/>
    <w:rsid w:val="21C3546D"/>
    <w:rsid w:val="28C67267"/>
    <w:rsid w:val="34FD6F13"/>
    <w:rsid w:val="35486526"/>
    <w:rsid w:val="3E3E77BC"/>
    <w:rsid w:val="3E482B87"/>
    <w:rsid w:val="40773D1E"/>
    <w:rsid w:val="4B5A7A13"/>
    <w:rsid w:val="5B2D4026"/>
    <w:rsid w:val="5B31181A"/>
    <w:rsid w:val="6DD54C21"/>
    <w:rsid w:val="71FC5CDB"/>
    <w:rsid w:val="720C3735"/>
    <w:rsid w:val="76D1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5EE9C"/>
  <w15:docId w15:val="{5201C4EA-64D1-489F-AED5-8E9867C5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unhideWhenUsed="1" w:qFormat="1"/>
    <w:lsdException w:name="Subtitle"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3"/>
    <w:next w:val="a3"/>
    <w:link w:val="aa"/>
    <w:qFormat/>
    <w:rPr>
      <w:b/>
      <w:bCs/>
    </w:rPr>
  </w:style>
  <w:style w:type="character" w:styleId="ab">
    <w:name w:val="Strong"/>
    <w:basedOn w:val="a0"/>
    <w:qFormat/>
    <w:rPr>
      <w:b/>
    </w:rPr>
  </w:style>
  <w:style w:type="character" w:styleId="ac">
    <w:name w:val="Hyperlink"/>
    <w:basedOn w:val="a0"/>
    <w:uiPriority w:val="99"/>
    <w:unhideWhenUsed/>
    <w:qFormat/>
    <w:rPr>
      <w:color w:val="0026E5" w:themeColor="hyperlink"/>
      <w:u w:val="single"/>
    </w:rPr>
  </w:style>
  <w:style w:type="character" w:styleId="ad">
    <w:name w:val="annotation reference"/>
    <w:basedOn w:val="a0"/>
    <w:qFormat/>
    <w:rPr>
      <w:sz w:val="21"/>
      <w:szCs w:val="21"/>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character" w:customStyle="1" w:styleId="a6">
    <w:name w:val="页脚 字符"/>
    <w:basedOn w:val="a0"/>
    <w:link w:val="a5"/>
    <w:uiPriority w:val="99"/>
    <w:qFormat/>
    <w:rPr>
      <w:rFonts w:asciiTheme="minorHAnsi" w:eastAsiaTheme="minorEastAsia" w:hAnsiTheme="minorHAnsi" w:cstheme="minorBidi"/>
      <w:kern w:val="2"/>
      <w:sz w:val="18"/>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 w:type="paragraph" w:styleId="ae">
    <w:name w:val="Revision"/>
    <w:hidden/>
    <w:uiPriority w:val="99"/>
    <w:unhideWhenUsed/>
    <w:rsid w:val="00DF550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18</Pages>
  <Words>4301</Words>
  <Characters>4301</Characters>
  <Application>Microsoft Office Word</Application>
  <DocSecurity>0</DocSecurity>
  <Lines>195</Lines>
  <Paragraphs>124</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odybe</dc:creator>
  <cp:lastModifiedBy>谢振康</cp:lastModifiedBy>
  <cp:revision>412</cp:revision>
  <cp:lastPrinted>2025-09-04T10:54:00Z</cp:lastPrinted>
  <dcterms:created xsi:type="dcterms:W3CDTF">2025-06-23T08:49:00Z</dcterms:created>
  <dcterms:modified xsi:type="dcterms:W3CDTF">2025-09-23T03:04:00Z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eyJoZGlkIjoiYjgyYzBlMWY3MTQ0OWUyYzE0ZjNkMGE3MjcwOTEyMTUiLCJ1c2VySWQiOiI1MzY5MjQ3MTYifQ==</vt:lpwstr>
  </property>
  <property fmtid="{D5CDD505-2E9C-101B-9397-08002B2CF9AE}" pid="4" name="ICV">
    <vt:lpwstr>930A16A2BFD641B48677BD54168AED48_13</vt:lpwstr>
  </property>
</Properties>
</file>