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WH04</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51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（十三师）应急罚〔2025〕WH04-1号</w:t>
            </w:r>
          </w:p>
        </w:tc>
      </w:tr>
      <w:tr w14:paraId="1CF74B04">
        <w:tblPrEx>
          <w:tblCellMar>
            <w:top w:w="0" w:type="dxa"/>
            <w:left w:w="0" w:type="dxa"/>
            <w:bottom w:w="0" w:type="dxa"/>
            <w:right w:w="0" w:type="dxa"/>
          </w:tblCellMar>
        </w:tblPrEx>
        <w:trPr>
          <w:trHeight w:val="51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新疆中科能源科技有限公司安全设施设计未经有关部门审查行政处罚案</w:t>
            </w:r>
          </w:p>
        </w:tc>
      </w:tr>
      <w:tr w14:paraId="2FFC1D49">
        <w:tblPrEx>
          <w:tblCellMar>
            <w:top w:w="0" w:type="dxa"/>
            <w:left w:w="0" w:type="dxa"/>
            <w:bottom w:w="0" w:type="dxa"/>
            <w:right w:w="0" w:type="dxa"/>
          </w:tblCellMar>
        </w:tblPrEx>
        <w:trPr>
          <w:trHeight w:val="47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责令停止建设、罚款</w:t>
            </w:r>
          </w:p>
        </w:tc>
      </w:tr>
      <w:tr w14:paraId="397986F7">
        <w:tblPrEx>
          <w:tblCellMar>
            <w:top w:w="0" w:type="dxa"/>
            <w:left w:w="0" w:type="dxa"/>
            <w:bottom w:w="0" w:type="dxa"/>
            <w:right w:w="0" w:type="dxa"/>
          </w:tblCellMar>
        </w:tblPrEx>
        <w:trPr>
          <w:trHeight w:val="2692"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2025年8月25日，应急管理综合行政执法支队行政执法人员贾钰洋、孙萌对中科能源现场检查。出示执法证件后，由总工程师陈武、总经理助理李志祥、安环部副部长代银祥配合检查。经检查，该公司于2025年3月通过兵团应急管理局安全条件审查，但安全设施设计专篇暂未通过兵团应急管理局审查。存在的违法行为是：安全设施设计未通过兵团应急管理局评审，现场已进入施工阶段，存在“未批先建”违法行为。</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B43E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以上行为违反《中华人民共和国安全生产法》第三十三条第二款：“矿山、金属冶炼建设项目和用于生产、储存、装卸危险物品的建设项目的安全设施设计应当按照国家有关规定报经有关部门审查，审查部门及其负责审查的人员对审查结果负责。”的规定，依据《中华人民共和国安全生产法》第九十八条第二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的规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对新疆中科能源科技有限公司</w:t>
            </w:r>
            <w:r>
              <w:rPr>
                <w:rFonts w:hint="eastAsia" w:ascii="仿宋_GB2312" w:hAnsi="仿宋_GB2312" w:eastAsia="仿宋_GB2312" w:cs="仿宋_GB2312"/>
                <w:kern w:val="0"/>
                <w:sz w:val="24"/>
                <w:lang w:val="en-US" w:eastAsia="zh-CN" w:bidi="ar"/>
              </w:rPr>
              <w:t>上述违法行为作出</w:t>
            </w:r>
            <w:r>
              <w:rPr>
                <w:rFonts w:hint="eastAsia" w:ascii="仿宋_GB2312" w:hAnsi="仿宋_GB2312" w:eastAsia="仿宋_GB2312" w:cs="仿宋_GB2312"/>
                <w:kern w:val="0"/>
                <w:sz w:val="24"/>
                <w:lang w:bidi="ar"/>
              </w:rPr>
              <w:t>责令停止建设，并处人民币400000元（大写：肆拾万元整）罚款的行政处罚。</w:t>
            </w:r>
          </w:p>
        </w:tc>
      </w:tr>
      <w:tr w14:paraId="5038A66D">
        <w:tblPrEx>
          <w:tblCellMar>
            <w:top w:w="0" w:type="dxa"/>
            <w:left w:w="0" w:type="dxa"/>
            <w:bottom w:w="0" w:type="dxa"/>
            <w:right w:w="0" w:type="dxa"/>
          </w:tblCellMar>
        </w:tblPrEx>
        <w:trPr>
          <w:trHeight w:val="435"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新疆中科能源科技有限公司</w:t>
            </w:r>
          </w:p>
        </w:tc>
      </w:tr>
      <w:tr w14:paraId="4038285D">
        <w:tblPrEx>
          <w:tblCellMar>
            <w:top w:w="0" w:type="dxa"/>
            <w:left w:w="0" w:type="dxa"/>
            <w:bottom w:w="0" w:type="dxa"/>
            <w:right w:w="0" w:type="dxa"/>
          </w:tblCellMar>
        </w:tblPrEx>
        <w:trPr>
          <w:trHeight w:val="4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91659011MACYF21E88</w:t>
            </w:r>
          </w:p>
        </w:tc>
      </w:tr>
      <w:tr w14:paraId="755A31DD">
        <w:tblPrEx>
          <w:tblCellMar>
            <w:top w:w="0" w:type="dxa"/>
            <w:left w:w="0" w:type="dxa"/>
            <w:bottom w:w="0" w:type="dxa"/>
            <w:right w:w="0" w:type="dxa"/>
          </w:tblCellMar>
        </w:tblPrEx>
        <w:trPr>
          <w:trHeight w:val="423"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于旷世</w:t>
            </w:r>
          </w:p>
        </w:tc>
      </w:tr>
      <w:tr w14:paraId="44D8518E">
        <w:tblPrEx>
          <w:tblCellMar>
            <w:top w:w="0" w:type="dxa"/>
            <w:left w:w="0" w:type="dxa"/>
            <w:bottom w:w="0" w:type="dxa"/>
            <w:right w:w="0" w:type="dxa"/>
          </w:tblCellMar>
        </w:tblPrEx>
        <w:trPr>
          <w:trHeight w:val="45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2025年9月4日</w:t>
            </w:r>
          </w:p>
        </w:tc>
      </w:tr>
    </w:tbl>
    <w:p w14:paraId="3BF3F53D"/>
    <w:tbl>
      <w:tblPr>
        <w:tblStyle w:val="3"/>
        <w:tblW w:w="10137" w:type="dxa"/>
        <w:tblInd w:w="0" w:type="dxa"/>
        <w:tblLayout w:type="fixed"/>
        <w:tblCellMar>
          <w:top w:w="0" w:type="dxa"/>
          <w:left w:w="0" w:type="dxa"/>
          <w:bottom w:w="0" w:type="dxa"/>
          <w:right w:w="0" w:type="dxa"/>
        </w:tblCellMar>
      </w:tblPr>
      <w:tblGrid>
        <w:gridCol w:w="2268"/>
        <w:gridCol w:w="7869"/>
      </w:tblGrid>
      <w:tr w14:paraId="021121E0">
        <w:tblPrEx>
          <w:tblCellMar>
            <w:top w:w="0" w:type="dxa"/>
            <w:left w:w="0" w:type="dxa"/>
            <w:bottom w:w="0" w:type="dxa"/>
            <w:right w:w="0" w:type="dxa"/>
          </w:tblCellMar>
        </w:tblPrEx>
        <w:trPr>
          <w:trHeight w:val="918" w:hRule="atLeast"/>
        </w:trPr>
        <w:tc>
          <w:tcPr>
            <w:tcW w:w="10137" w:type="dxa"/>
            <w:gridSpan w:val="2"/>
            <w:tcBorders>
              <w:top w:val="nil"/>
              <w:left w:val="nil"/>
              <w:bottom w:val="nil"/>
              <w:right w:val="nil"/>
            </w:tcBorders>
            <w:noWrap/>
            <w:tcMar>
              <w:top w:w="15" w:type="dxa"/>
              <w:left w:w="15" w:type="dxa"/>
              <w:right w:w="15" w:type="dxa"/>
            </w:tcMar>
            <w:vAlign w:val="center"/>
          </w:tcPr>
          <w:p w14:paraId="533A295F">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WH04</w:t>
            </w:r>
            <w:r>
              <w:rPr>
                <w:rFonts w:hint="eastAsia" w:ascii="黑体" w:hAnsi="宋体" w:eastAsia="黑体" w:cs="黑体"/>
                <w:kern w:val="0"/>
                <w:sz w:val="32"/>
                <w:szCs w:val="32"/>
                <w:lang w:bidi="ar"/>
              </w:rPr>
              <w:t>号）</w:t>
            </w:r>
          </w:p>
        </w:tc>
      </w:tr>
      <w:tr w14:paraId="37AF8DA9">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F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F33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（十三师）应急罚〔2025〕WH04-2号</w:t>
            </w:r>
          </w:p>
        </w:tc>
      </w:tr>
      <w:tr w14:paraId="2874441C">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3D2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bookmarkStart w:id="0" w:name="_GoBack"/>
            <w:bookmarkEnd w:id="0"/>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A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新疆中科能源科技有限公司安全设施设计未经有关部门审查行政处罚案</w:t>
            </w:r>
          </w:p>
        </w:tc>
      </w:tr>
      <w:tr w14:paraId="0C90B1B7">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31E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92E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罚款</w:t>
            </w:r>
          </w:p>
        </w:tc>
      </w:tr>
      <w:tr w14:paraId="41D44F61">
        <w:tblPrEx>
          <w:tblCellMar>
            <w:top w:w="0" w:type="dxa"/>
            <w:left w:w="0" w:type="dxa"/>
            <w:bottom w:w="0" w:type="dxa"/>
            <w:right w:w="0" w:type="dxa"/>
          </w:tblCellMar>
        </w:tblPrEx>
        <w:trPr>
          <w:trHeight w:val="311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C8A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6ADE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2025年8月25日，应急管理综合行政执法支队行政执法人员贾钰洋、孙萌对中科能源现场检查。出示执法证件后，由总工程师陈武、总经理助理李志祥、安环部副部长代银祥配合检查。经检查，该公司于2025年3月通过兵团应急管理局安全条件审查，但安全设施设计专篇暂未通过兵团应急管理局审查。存在的违法行为是：安全设施设计未通过兵团应急管理局评审，现场已进入施工阶段，存在“未批先建”违法行为。</w:t>
            </w:r>
          </w:p>
        </w:tc>
      </w:tr>
      <w:tr w14:paraId="160ACD28">
        <w:tblPrEx>
          <w:tblCellMar>
            <w:top w:w="0" w:type="dxa"/>
            <w:left w:w="0" w:type="dxa"/>
            <w:bottom w:w="0" w:type="dxa"/>
            <w:right w:w="0" w:type="dxa"/>
          </w:tblCellMar>
        </w:tblPrEx>
        <w:trPr>
          <w:trHeight w:val="141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EFF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A6EF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以上行为违反《中华人民共和国安全生产法》第三十三条第二款：“矿山、金属冶炼建设项目和用于生产、储存、装卸危险物品的建设项目的安全设施设计应当按照国家有关规定报经有关部门审查，审查部门及其负责审查的人员对审查结果负责。”的规定，依据《中华人民共和国安全生产法》第九十八条第二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的规定。</w:t>
            </w:r>
          </w:p>
        </w:tc>
      </w:tr>
      <w:tr w14:paraId="56E54D8C">
        <w:tblPrEx>
          <w:tblCellMar>
            <w:top w:w="0" w:type="dxa"/>
            <w:left w:w="0" w:type="dxa"/>
            <w:bottom w:w="0" w:type="dxa"/>
            <w:right w:w="0" w:type="dxa"/>
          </w:tblCellMar>
        </w:tblPrEx>
        <w:trPr>
          <w:trHeight w:val="1055"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3D5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7C3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对新疆中科能源科技有限公司</w:t>
            </w:r>
            <w:r>
              <w:rPr>
                <w:rFonts w:hint="eastAsia" w:ascii="仿宋_GB2312" w:hAnsi="仿宋_GB2312" w:eastAsia="仿宋_GB2312" w:cs="仿宋_GB2312"/>
                <w:kern w:val="0"/>
                <w:sz w:val="24"/>
                <w:lang w:val="en-US" w:eastAsia="zh-CN" w:bidi="ar"/>
              </w:rPr>
              <w:t>总工程师陈武上述违法行为</w:t>
            </w:r>
            <w:r>
              <w:rPr>
                <w:rFonts w:hint="eastAsia" w:ascii="仿宋_GB2312" w:hAnsi="仿宋_GB2312" w:eastAsia="仿宋_GB2312" w:cs="仿宋_GB2312"/>
                <w:kern w:val="0"/>
                <w:sz w:val="24"/>
                <w:lang w:bidi="ar"/>
              </w:rPr>
              <w:t>处人民币</w:t>
            </w:r>
            <w:r>
              <w:rPr>
                <w:rFonts w:hint="eastAsia" w:ascii="仿宋_GB2312" w:hAnsi="仿宋_GB2312" w:eastAsia="仿宋_GB2312" w:cs="仿宋_GB2312"/>
                <w:kern w:val="0"/>
                <w:sz w:val="24"/>
                <w:lang w:val="en-US" w:eastAsia="zh-CN" w:bidi="ar"/>
              </w:rPr>
              <w:t>1</w:t>
            </w:r>
            <w:r>
              <w:rPr>
                <w:rFonts w:hint="eastAsia" w:ascii="仿宋_GB2312" w:hAnsi="仿宋_GB2312" w:eastAsia="仿宋_GB2312" w:cs="仿宋_GB2312"/>
                <w:kern w:val="0"/>
                <w:sz w:val="24"/>
                <w:lang w:bidi="ar"/>
              </w:rPr>
              <w:t>0000元（大写：</w:t>
            </w:r>
            <w:r>
              <w:rPr>
                <w:rFonts w:hint="eastAsia" w:ascii="仿宋_GB2312" w:hAnsi="仿宋_GB2312" w:eastAsia="仿宋_GB2312" w:cs="仿宋_GB2312"/>
                <w:kern w:val="0"/>
                <w:sz w:val="24"/>
                <w:lang w:val="en-US" w:eastAsia="zh-CN" w:bidi="ar"/>
              </w:rPr>
              <w:t>壹</w:t>
            </w:r>
            <w:r>
              <w:rPr>
                <w:rFonts w:hint="eastAsia" w:ascii="仿宋_GB2312" w:hAnsi="仿宋_GB2312" w:eastAsia="仿宋_GB2312" w:cs="仿宋_GB2312"/>
                <w:kern w:val="0"/>
                <w:sz w:val="24"/>
                <w:lang w:bidi="ar"/>
              </w:rPr>
              <w:t>万元整）罚款的行政处罚。</w:t>
            </w:r>
          </w:p>
        </w:tc>
      </w:tr>
      <w:tr w14:paraId="4F1B4EF5">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BF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1A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陈武</w:t>
            </w:r>
          </w:p>
        </w:tc>
      </w:tr>
      <w:tr w14:paraId="1344DC52">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951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FA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2025年9月4日</w:t>
            </w:r>
          </w:p>
        </w:tc>
      </w:tr>
    </w:tbl>
    <w:p w14:paraId="4C344A58"/>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58F1702"/>
    <w:rsid w:val="0CA777AC"/>
    <w:rsid w:val="104C4433"/>
    <w:rsid w:val="14E8498B"/>
    <w:rsid w:val="1B01457E"/>
    <w:rsid w:val="1F8313F8"/>
    <w:rsid w:val="2052024C"/>
    <w:rsid w:val="211400BB"/>
    <w:rsid w:val="23EC6FE5"/>
    <w:rsid w:val="2B5C3DC0"/>
    <w:rsid w:val="47F54F89"/>
    <w:rsid w:val="522D0CD8"/>
    <w:rsid w:val="52D653B5"/>
    <w:rsid w:val="582F2CDA"/>
    <w:rsid w:val="596A10B5"/>
    <w:rsid w:val="60A8478B"/>
    <w:rsid w:val="67ED27A2"/>
    <w:rsid w:val="6DA150F9"/>
    <w:rsid w:val="6F3D2EDB"/>
    <w:rsid w:val="7BAF597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宋体"/>
      <w:sz w:val="30"/>
      <w:szCs w:val="20"/>
    </w:rPr>
  </w:style>
  <w:style w:type="paragraph" w:customStyle="1" w:styleId="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1523</Words>
  <Characters>1600</Characters>
  <Lines>0</Lines>
  <Paragraphs>0</Paragraphs>
  <TotalTime>1</TotalTime>
  <ScaleCrop>false</ScaleCrop>
  <LinksUpToDate>false</LinksUpToDate>
  <CharactersWithSpaces>1602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