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8</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4"/>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WH03</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51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（十三师）应急罚〔2025〕WH0</w:t>
            </w:r>
            <w:r>
              <w:rPr>
                <w:rFonts w:hint="eastAsia" w:ascii="仿宋_GB2312" w:hAnsi="仿宋_GB2312" w:eastAsia="仿宋_GB2312" w:cs="仿宋_GB2312"/>
                <w:kern w:val="0"/>
                <w:sz w:val="24"/>
                <w:lang w:val="en-US" w:eastAsia="zh-CN" w:bidi="ar"/>
              </w:rPr>
              <w:t>3</w:t>
            </w:r>
            <w:r>
              <w:rPr>
                <w:rFonts w:hint="eastAsia" w:ascii="仿宋_GB2312" w:hAnsi="仿宋_GB2312" w:eastAsia="仿宋_GB2312" w:cs="仿宋_GB2312"/>
                <w:kern w:val="0"/>
                <w:sz w:val="24"/>
                <w:lang w:eastAsia="zh-CN" w:bidi="ar"/>
              </w:rPr>
              <w:t>-1号</w:t>
            </w:r>
          </w:p>
        </w:tc>
      </w:tr>
      <w:tr w14:paraId="1CF74B04">
        <w:tblPrEx>
          <w:tblCellMar>
            <w:top w:w="0" w:type="dxa"/>
            <w:left w:w="0" w:type="dxa"/>
            <w:bottom w:w="0" w:type="dxa"/>
            <w:right w:w="0" w:type="dxa"/>
          </w:tblCellMar>
        </w:tblPrEx>
        <w:trPr>
          <w:trHeight w:val="51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巴里坤天汇利能源有限公司存在重大事故隐患及突出问题行政处罚案</w:t>
            </w:r>
          </w:p>
        </w:tc>
      </w:tr>
      <w:tr w14:paraId="2FFC1D49">
        <w:tblPrEx>
          <w:tblCellMar>
            <w:top w:w="0" w:type="dxa"/>
            <w:left w:w="0" w:type="dxa"/>
            <w:bottom w:w="0" w:type="dxa"/>
            <w:right w:w="0" w:type="dxa"/>
          </w:tblCellMar>
        </w:tblPrEx>
        <w:trPr>
          <w:trHeight w:val="47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责令限期整改、罚款</w:t>
            </w:r>
          </w:p>
        </w:tc>
      </w:tr>
      <w:tr w14:paraId="397986F7">
        <w:tblPrEx>
          <w:tblCellMar>
            <w:top w:w="0" w:type="dxa"/>
            <w:left w:w="0" w:type="dxa"/>
            <w:bottom w:w="0" w:type="dxa"/>
            <w:right w:w="0" w:type="dxa"/>
          </w:tblCellMar>
        </w:tblPrEx>
        <w:trPr>
          <w:trHeight w:val="2692"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2025年8月14日，师市应急管理局执法人员贾钰洋、丁鹏山对巴里坤天汇利能源有限公司开展检查。向企业出示执法证后，由公司总经理刘卫国、安环部副部长何存鹏配合检查。通过查阅安全教育培训记录、特种作业票、三项岗位人员持证上岗证照等基础资料和现场检查炭化炉、中控室、氨水罐区、焦油罐区等作业场所，发现：1.安环部副部长何存鹏未取得危险化学品生产单位安全生产知识和管理能力考核合格证；2.炭化炉二层爆破片非防爆；3.焊工张田斌未取得应急管理部门下发的焊接和热切割作业操作证上岗作业；4.机修工张大勤未进行入厂安全教育等4项重大事故隐患及突出问题。</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F0EF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该单位第1项行为涉嫌违反了《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的规定。第2项行为涉嫌违反了《中华人民共和国安全生产法》第三十六条第一款：“安全设备的设计、制造、安装、使用、检测、维修、改造和报废，应当符合国家标准或者行业标准。”的规定。第3项行为涉嫌违反了《中华人民共和国安全生产法》第三十条第一款：“生产经营单位的特种作业人员必须按照国家有关规定经专门的安全作业培训，取得相应资格，方可上岗作业。”的规定。第4项行为涉嫌违反了《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的规定。</w:t>
            </w:r>
          </w:p>
          <w:p w14:paraId="78FEE67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该单位第1项违法行为依据《中华人民共和国安全生产法》第九十七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的规定。第2项违法行为依据《中华人民共和国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的规定。第3项违法行为依据《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的规定。第4项违法行为依据《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的规定。</w:t>
            </w:r>
          </w:p>
          <w:p w14:paraId="5F5FBDE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default" w:ascii="Times New Roman" w:hAnsi="Times New Roman" w:eastAsia="仿宋_GB2312" w:cs="Times New Roman"/>
                <w:sz w:val="24"/>
                <w:szCs w:val="24"/>
                <w:lang w:val="en-US" w:eastAsia="zh-CN"/>
              </w:rPr>
              <w:t>依据《安全生产违法行为行政处罚办法》第五十三条：“生产经营单位及其有关人员触犯不同的法律规定，有两个以上应当给予行政处罚的安全生产违法行为的，安全监管监察部门应当适用不同的法律规定，分别裁量，合并处罚。”的规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对巴里坤天汇利能源有限公司责令限期改正，并处人民币58000元（伍万捌仟元整）罚款。</w:t>
            </w:r>
          </w:p>
        </w:tc>
      </w:tr>
      <w:tr w14:paraId="5038A66D">
        <w:tblPrEx>
          <w:tblCellMar>
            <w:top w:w="0" w:type="dxa"/>
            <w:left w:w="0" w:type="dxa"/>
            <w:bottom w:w="0" w:type="dxa"/>
            <w:right w:w="0" w:type="dxa"/>
          </w:tblCellMar>
        </w:tblPrEx>
        <w:trPr>
          <w:trHeight w:val="435"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巴里坤天汇利能源有限公司</w:t>
            </w:r>
          </w:p>
        </w:tc>
      </w:tr>
      <w:tr w14:paraId="4038285D">
        <w:tblPrEx>
          <w:tblCellMar>
            <w:top w:w="0" w:type="dxa"/>
            <w:left w:w="0" w:type="dxa"/>
            <w:bottom w:w="0" w:type="dxa"/>
            <w:right w:w="0" w:type="dxa"/>
          </w:tblCellMar>
        </w:tblPrEx>
        <w:trPr>
          <w:trHeight w:val="4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91652222062071242B</w:t>
            </w:r>
          </w:p>
        </w:tc>
      </w:tr>
      <w:tr w14:paraId="755A31DD">
        <w:tblPrEx>
          <w:tblCellMar>
            <w:top w:w="0" w:type="dxa"/>
            <w:left w:w="0" w:type="dxa"/>
            <w:bottom w:w="0" w:type="dxa"/>
            <w:right w:w="0" w:type="dxa"/>
          </w:tblCellMar>
        </w:tblPrEx>
        <w:trPr>
          <w:trHeight w:val="423"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刘卫国</w:t>
            </w:r>
          </w:p>
        </w:tc>
      </w:tr>
      <w:tr w14:paraId="44D8518E">
        <w:tblPrEx>
          <w:tblCellMar>
            <w:top w:w="0" w:type="dxa"/>
            <w:left w:w="0" w:type="dxa"/>
            <w:bottom w:w="0" w:type="dxa"/>
            <w:right w:w="0" w:type="dxa"/>
          </w:tblCellMar>
        </w:tblPrEx>
        <w:trPr>
          <w:trHeight w:val="45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2025年9月5日</w:t>
            </w:r>
          </w:p>
        </w:tc>
      </w:tr>
    </w:tbl>
    <w:p w14:paraId="3BF3F53D"/>
    <w:p w14:paraId="0C162450">
      <w:pPr>
        <w:pStyle w:val="2"/>
      </w:pPr>
    </w:p>
    <w:p w14:paraId="2AF37F25">
      <w:pPr>
        <w:pStyle w:val="2"/>
      </w:pPr>
    </w:p>
    <w:p w14:paraId="16EB2E08">
      <w:pPr>
        <w:pStyle w:val="2"/>
      </w:pPr>
    </w:p>
    <w:tbl>
      <w:tblPr>
        <w:tblStyle w:val="4"/>
        <w:tblW w:w="10137" w:type="dxa"/>
        <w:tblInd w:w="0" w:type="dxa"/>
        <w:tblLayout w:type="fixed"/>
        <w:tblCellMar>
          <w:top w:w="0" w:type="dxa"/>
          <w:left w:w="0" w:type="dxa"/>
          <w:bottom w:w="0" w:type="dxa"/>
          <w:right w:w="0" w:type="dxa"/>
        </w:tblCellMar>
      </w:tblPr>
      <w:tblGrid>
        <w:gridCol w:w="2268"/>
        <w:gridCol w:w="7869"/>
      </w:tblGrid>
      <w:tr w14:paraId="021121E0">
        <w:tblPrEx>
          <w:tblCellMar>
            <w:top w:w="0" w:type="dxa"/>
            <w:left w:w="0" w:type="dxa"/>
            <w:bottom w:w="0" w:type="dxa"/>
            <w:right w:w="0" w:type="dxa"/>
          </w:tblCellMar>
        </w:tblPrEx>
        <w:trPr>
          <w:trHeight w:val="918" w:hRule="atLeast"/>
        </w:trPr>
        <w:tc>
          <w:tcPr>
            <w:tcW w:w="10137" w:type="dxa"/>
            <w:gridSpan w:val="2"/>
            <w:tcBorders>
              <w:top w:val="nil"/>
              <w:left w:val="nil"/>
              <w:bottom w:val="nil"/>
              <w:right w:val="nil"/>
            </w:tcBorders>
            <w:noWrap/>
            <w:tcMar>
              <w:top w:w="15" w:type="dxa"/>
              <w:left w:w="15" w:type="dxa"/>
              <w:right w:w="15" w:type="dxa"/>
            </w:tcMar>
            <w:vAlign w:val="center"/>
          </w:tcPr>
          <w:p w14:paraId="533A295F">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WH03</w:t>
            </w:r>
            <w:r>
              <w:rPr>
                <w:rFonts w:hint="eastAsia" w:ascii="黑体" w:hAnsi="宋体" w:eastAsia="黑体" w:cs="黑体"/>
                <w:kern w:val="0"/>
                <w:sz w:val="32"/>
                <w:szCs w:val="32"/>
                <w:lang w:bidi="ar"/>
              </w:rPr>
              <w:t>号）</w:t>
            </w:r>
          </w:p>
        </w:tc>
      </w:tr>
      <w:tr w14:paraId="37AF8DA9">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F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F33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（十三师）应急罚〔2025〕WH0</w:t>
            </w:r>
            <w:r>
              <w:rPr>
                <w:rFonts w:hint="eastAsia" w:ascii="仿宋_GB2312" w:hAnsi="仿宋_GB2312" w:eastAsia="仿宋_GB2312" w:cs="仿宋_GB2312"/>
                <w:kern w:val="0"/>
                <w:sz w:val="24"/>
                <w:lang w:val="en-US" w:eastAsia="zh-CN" w:bidi="ar"/>
              </w:rPr>
              <w:t>3</w:t>
            </w:r>
            <w:r>
              <w:rPr>
                <w:rFonts w:hint="eastAsia" w:ascii="仿宋_GB2312" w:hAnsi="仿宋_GB2312" w:eastAsia="仿宋_GB2312" w:cs="仿宋_GB2312"/>
                <w:kern w:val="0"/>
                <w:sz w:val="24"/>
                <w:lang w:eastAsia="zh-CN" w:bidi="ar"/>
              </w:rPr>
              <w:t>-2号</w:t>
            </w:r>
          </w:p>
        </w:tc>
      </w:tr>
      <w:tr w14:paraId="2874441C">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3D2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bookmarkStart w:id="0" w:name="_GoBack"/>
            <w:bookmarkEnd w:id="0"/>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CA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巴里坤天汇利能源有限公司存在重大事故隐患及突出问题行政处罚案</w:t>
            </w:r>
          </w:p>
        </w:tc>
      </w:tr>
      <w:tr w14:paraId="0C90B1B7">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31EE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92E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default" w:ascii="Times New Roman" w:hAnsi="Times New Roman" w:eastAsia="仿宋_GB2312" w:cs="Times New Roman"/>
                <w:sz w:val="24"/>
                <w:szCs w:val="24"/>
              </w:rPr>
              <w:t>责令限期整改</w:t>
            </w:r>
            <w:r>
              <w:rPr>
                <w:rFonts w:hint="eastAsia" w:eastAsia="仿宋_GB2312" w:cs="Times New Roman"/>
                <w:sz w:val="24"/>
                <w:szCs w:val="24"/>
                <w:lang w:eastAsia="zh-CN"/>
              </w:rPr>
              <w:t>、</w:t>
            </w:r>
            <w:r>
              <w:rPr>
                <w:rFonts w:hint="eastAsia" w:ascii="仿宋_GB2312" w:hAnsi="仿宋_GB2312" w:eastAsia="仿宋_GB2312" w:cs="仿宋_GB2312"/>
                <w:kern w:val="0"/>
                <w:sz w:val="24"/>
                <w:lang w:val="en-US" w:eastAsia="zh-CN" w:bidi="ar"/>
              </w:rPr>
              <w:t>罚款</w:t>
            </w:r>
          </w:p>
        </w:tc>
      </w:tr>
      <w:tr w14:paraId="41D44F61">
        <w:tblPrEx>
          <w:tblCellMar>
            <w:top w:w="0" w:type="dxa"/>
            <w:left w:w="0" w:type="dxa"/>
            <w:bottom w:w="0" w:type="dxa"/>
            <w:right w:w="0" w:type="dxa"/>
          </w:tblCellMar>
        </w:tblPrEx>
        <w:trPr>
          <w:trHeight w:val="311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C8A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6ADE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Times New Roman" w:hAnsi="Times New Roman" w:eastAsia="仿宋_GB2312" w:cs="Times New Roman"/>
                <w:sz w:val="24"/>
                <w:szCs w:val="24"/>
                <w:lang w:val="en-US" w:eastAsia="zh-CN"/>
              </w:rPr>
              <w:t>2025年8月14日，师市应急管理局执法人员贾钰洋、丁鹏山对巴里坤天汇利能源有限公司开展检查</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发现该公司总经理刘卫国存在未按规定组织从业人员进行</w:t>
            </w:r>
            <w:r>
              <w:rPr>
                <w:rFonts w:hint="eastAsia" w:ascii="Times New Roman" w:hAnsi="Times New Roman" w:eastAsia="仿宋_GB2312" w:cs="Times New Roman"/>
                <w:sz w:val="24"/>
                <w:szCs w:val="24"/>
                <w:lang w:val="en-US" w:eastAsia="zh-CN"/>
              </w:rPr>
              <w:t>入厂</w:t>
            </w:r>
            <w:r>
              <w:rPr>
                <w:rFonts w:hint="default" w:ascii="Times New Roman" w:hAnsi="Times New Roman" w:eastAsia="仿宋_GB2312" w:cs="Times New Roman"/>
                <w:sz w:val="24"/>
                <w:szCs w:val="24"/>
                <w:lang w:val="en-US" w:eastAsia="zh-CN"/>
              </w:rPr>
              <w:t>安全教育的违法行为</w:t>
            </w:r>
            <w:r>
              <w:rPr>
                <w:rFonts w:hint="eastAsia" w:ascii="Times New Roman" w:hAnsi="Times New Roman" w:eastAsia="仿宋_GB2312" w:cs="Times New Roman"/>
                <w:sz w:val="24"/>
                <w:szCs w:val="24"/>
                <w:lang w:val="en-US" w:eastAsia="zh-CN"/>
              </w:rPr>
              <w:t>。</w:t>
            </w:r>
          </w:p>
        </w:tc>
      </w:tr>
      <w:tr w14:paraId="160ACD28">
        <w:tblPrEx>
          <w:tblCellMar>
            <w:top w:w="0" w:type="dxa"/>
            <w:left w:w="0" w:type="dxa"/>
            <w:bottom w:w="0" w:type="dxa"/>
            <w:right w:w="0" w:type="dxa"/>
          </w:tblCellMar>
        </w:tblPrEx>
        <w:trPr>
          <w:trHeight w:val="141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EFF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A6EF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以上行为违反《中华人民共和国安全生产法》第二十一条第（三）项：“生产经营单位的主要负责人对本单位安全生产工作负有下列职责：（三）组织制定并实施本单位安全生产教育和培训计划。”的规定，依据《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的规定。</w:t>
            </w:r>
          </w:p>
        </w:tc>
      </w:tr>
      <w:tr w14:paraId="56E54D8C">
        <w:tblPrEx>
          <w:tblCellMar>
            <w:top w:w="0" w:type="dxa"/>
            <w:left w:w="0" w:type="dxa"/>
            <w:bottom w:w="0" w:type="dxa"/>
            <w:right w:w="0" w:type="dxa"/>
          </w:tblCellMar>
        </w:tblPrEx>
        <w:trPr>
          <w:trHeight w:val="1055"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3D5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F7C3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对巴里坤天汇利能源有限公司总经理刘卫国作出责令限期整改，并处人民币20000元（贰万元整）罚款的行政处罚。</w:t>
            </w:r>
          </w:p>
        </w:tc>
      </w:tr>
      <w:tr w14:paraId="4F1B4EF5">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BF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51A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刘卫国</w:t>
            </w:r>
          </w:p>
        </w:tc>
      </w:tr>
      <w:tr w14:paraId="1344DC52">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951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FA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2025年9月23日</w:t>
            </w:r>
          </w:p>
        </w:tc>
      </w:tr>
    </w:tbl>
    <w:p w14:paraId="4C344A58"/>
    <w:sectPr>
      <w:pgSz w:w="11906" w:h="16838"/>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58F1702"/>
    <w:rsid w:val="0CA777AC"/>
    <w:rsid w:val="104C4433"/>
    <w:rsid w:val="14E8498B"/>
    <w:rsid w:val="1B01457E"/>
    <w:rsid w:val="1F8313F8"/>
    <w:rsid w:val="211400BB"/>
    <w:rsid w:val="23EC6FE5"/>
    <w:rsid w:val="2B5C3DC0"/>
    <w:rsid w:val="47F54F89"/>
    <w:rsid w:val="49AD5BED"/>
    <w:rsid w:val="522D0CD8"/>
    <w:rsid w:val="52D653B5"/>
    <w:rsid w:val="582F2CDA"/>
    <w:rsid w:val="596A10B5"/>
    <w:rsid w:val="60A8478B"/>
    <w:rsid w:val="67ED27A2"/>
    <w:rsid w:val="6DA150F9"/>
    <w:rsid w:val="6F3D2EDB"/>
    <w:rsid w:val="765B36D4"/>
    <w:rsid w:val="790F74FD"/>
    <w:rsid w:val="7A8959A6"/>
    <w:rsid w:val="7BAF597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styleId="3">
    <w:name w:val="Salutation"/>
    <w:basedOn w:val="1"/>
    <w:next w:val="1"/>
    <w:qFormat/>
    <w:uiPriority w:val="0"/>
    <w:rPr>
      <w:rFonts w:ascii="宋体"/>
      <w:sz w:val="30"/>
      <w:szCs w:val="20"/>
    </w:rPr>
  </w:style>
  <w:style w:type="paragraph" w:customStyle="1" w:styleId="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2318</Words>
  <Characters>2393</Characters>
  <Lines>0</Lines>
  <Paragraphs>0</Paragraphs>
  <TotalTime>2</TotalTime>
  <ScaleCrop>false</ScaleCrop>
  <LinksUpToDate>false</LinksUpToDate>
  <CharactersWithSpaces>2395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2025-10-10T03:49:02Z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6ABEBB53F6F245978F23B5C92ED2A5EF_13</vt:lpwstr>
  </property>
  <property fmtid="{D5CDD505-2E9C-101B-9397-08002B2CF9AE}" pid="4" name="KSOTemplateDocerSaveRecord">
    <vt:lpwstr>eyJoZGlkIjoiMmVkNDM2ZjE5YWRjY2M3NzFjMjkwYTYzN2E0MTNiYTciLCJ1c2VySWQiOiIzNTExMDY1MjkifQ==</vt:lpwstr>
  </property>
</Properties>
</file>