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17</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GM</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4-1</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eastAsia="zh-CN" w:bidi="ar"/>
              </w:rPr>
            </w:pPr>
            <w:r>
              <w:rPr>
                <w:rFonts w:hint="eastAsia" w:eastAsia="方正仿宋简体" w:cs="Times New Roman"/>
                <w:kern w:val="0"/>
                <w:sz w:val="24"/>
                <w:lang w:eastAsia="zh-CN" w:bidi="ar"/>
              </w:rPr>
              <w:t>（十三师）应急罚〔2025〕</w:t>
            </w:r>
            <w:r>
              <w:rPr>
                <w:rFonts w:hint="eastAsia" w:eastAsia="方正仿宋简体" w:cs="Times New Roman"/>
                <w:kern w:val="0"/>
                <w:sz w:val="24"/>
                <w:lang w:val="en-US" w:eastAsia="zh-CN" w:bidi="ar"/>
              </w:rPr>
              <w:t>GM</w:t>
            </w:r>
            <w:r>
              <w:rPr>
                <w:rFonts w:hint="eastAsia" w:eastAsia="方正仿宋简体" w:cs="Times New Roman"/>
                <w:kern w:val="0"/>
                <w:sz w:val="24"/>
                <w:lang w:eastAsia="zh-CN" w:bidi="ar"/>
              </w:rPr>
              <w:t>0</w:t>
            </w:r>
            <w:r>
              <w:rPr>
                <w:rFonts w:hint="eastAsia" w:eastAsia="方正仿宋简体" w:cs="Times New Roman"/>
                <w:kern w:val="0"/>
                <w:sz w:val="24"/>
                <w:lang w:val="en-US" w:eastAsia="zh-CN" w:bidi="ar"/>
              </w:rPr>
              <w:t>4-1</w:t>
            </w:r>
            <w:r>
              <w:rPr>
                <w:rFonts w:hint="eastAsia" w:eastAsia="方正仿宋简体" w:cs="Times New Roman"/>
                <w:kern w:val="0"/>
                <w:sz w:val="24"/>
                <w:lang w:eastAsia="zh-CN" w:bidi="ar"/>
              </w:rPr>
              <w:t>号</w:t>
            </w:r>
          </w:p>
        </w:tc>
      </w:tr>
      <w:tr w14:paraId="1CF74B04">
        <w:tblPrEx>
          <w:tblCellMar>
            <w:top w:w="0" w:type="dxa"/>
            <w:left w:w="0" w:type="dxa"/>
            <w:bottom w:w="0" w:type="dxa"/>
            <w:right w:w="0" w:type="dxa"/>
          </w:tblCellMar>
        </w:tblPrEx>
        <w:trPr>
          <w:trHeight w:val="523"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val="en-US" w:eastAsia="zh-CN" w:bidi="ar"/>
              </w:rPr>
              <w:t>哈密</w:t>
            </w:r>
            <w:r>
              <w:rPr>
                <w:rFonts w:hint="eastAsia" w:eastAsia="方正仿宋简体" w:cs="Times New Roman"/>
                <w:kern w:val="0"/>
                <w:sz w:val="24"/>
                <w:lang w:val="en-US" w:eastAsia="zh-CN" w:bidi="ar"/>
              </w:rPr>
              <w:t>泰昆饲料</w:t>
            </w:r>
            <w:r>
              <w:rPr>
                <w:rFonts w:hint="default" w:ascii="Times New Roman" w:hAnsi="Times New Roman" w:eastAsia="方正仿宋简体" w:cs="Times New Roman"/>
                <w:kern w:val="0"/>
                <w:sz w:val="24"/>
                <w:lang w:val="en-US" w:eastAsia="zh-CN" w:bidi="ar"/>
              </w:rPr>
              <w:t>有限责任公司未采取措施消除事故隐患等行政处罚案</w:t>
            </w:r>
          </w:p>
        </w:tc>
      </w:tr>
      <w:tr w14:paraId="2FFC1D49">
        <w:tblPrEx>
          <w:tblCellMar>
            <w:top w:w="0" w:type="dxa"/>
            <w:left w:w="0" w:type="dxa"/>
            <w:bottom w:w="0" w:type="dxa"/>
            <w:right w:w="0" w:type="dxa"/>
          </w:tblCellMar>
        </w:tblPrEx>
        <w:trPr>
          <w:trHeight w:val="4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罚款</w:t>
            </w:r>
          </w:p>
        </w:tc>
      </w:tr>
      <w:tr w14:paraId="397986F7">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380" w:lineRule="exact"/>
              <w:ind w:firstLine="504" w:firstLineChars="200"/>
              <w:jc w:val="both"/>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snapToGrid w:val="0"/>
                <w:color w:val="000000"/>
                <w:spacing w:val="6"/>
                <w:kern w:val="10"/>
                <w:sz w:val="24"/>
                <w:szCs w:val="24"/>
                <w:lang w:val="en-US" w:eastAsia="zh-CN" w:bidi="ar-SA"/>
              </w:rPr>
              <w:t>2025年10月28日，师市应急管理局对哈密泰昆饲料有限责任公司开展执法检查时发现该公司主要存在以下问题：1.企业处于生产状态，未完成安全验收；2.除尘器设置在厂房内未设置隔离措施；3.锅炉房刮板式出渣机齿轮链条处未设置防护罩；4.原料库门口未设置限高、限宽标识；5.机修间电焊机未设置漏电保护器；6.粉碎间内大量可燃性粉尘未执行粉尘清扫制度及时清理；7.中控室内配电控制柜前未设置绝缘胶垫；8.生产车间地下室设置3座豆油、棉油（约99m³左右）储罐且未设置防泄漏措施；9.玉米仓测温电缆损坏；10.根据安全设施设计生产车间划分为防爆区，粉碎间为20区，粉碎间内部分电气设施和电气线路为非防爆设施；11.棉油、豆油共3座储罐人孔未设置有限空间标识。</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B6E0E">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default" w:ascii="Times New Roman" w:hAnsi="Times New Roman" w:eastAsia="方正仿宋简体" w:cs="Times New Roman"/>
                <w:kern w:val="0"/>
                <w:sz w:val="24"/>
                <w:lang w:val="en-US" w:eastAsia="zh-CN" w:bidi="ar"/>
              </w:rPr>
            </w:pPr>
            <w:r>
              <w:rPr>
                <w:rFonts w:hint="eastAsia" w:ascii="方正仿宋简体" w:hAnsi="方正仿宋简体" w:eastAsia="方正仿宋简体" w:cs="方正仿宋简体"/>
                <w:kern w:val="0"/>
                <w:sz w:val="24"/>
                <w:szCs w:val="24"/>
                <w:lang w:val="en-US" w:eastAsia="zh-CN" w:bidi="ar"/>
              </w:rPr>
              <w:t>哈密泰昆饲料有限责任公司涉嫌违反《建设项目安全设施“三同时”监督管理办法》第二十三条第一款，《中华人民共和国安全生产法》第四十一条第二款、第三十六条第一款、第三十五条,《工贸企业粉尘防爆安全规定》第十七条第二款,《工贸企业有限空间作业安全规定》第十一条的规定</w:t>
            </w:r>
            <w:r>
              <w:rPr>
                <w:rFonts w:hint="eastAsia" w:ascii="方正仿宋简体" w:hAnsi="方正仿宋简体" w:eastAsia="方正仿宋简体" w:cs="方正仿宋简体"/>
                <w:snapToGrid w:val="0"/>
                <w:color w:val="000000"/>
                <w:spacing w:val="6"/>
                <w:kern w:val="10"/>
                <w:sz w:val="24"/>
                <w:szCs w:val="24"/>
                <w:lang w:val="en-US" w:eastAsia="zh-CN" w:bidi="ar-SA"/>
              </w:rPr>
              <w:t>，依据《建设项目安全设施“三同时”监督管理办法》第三十条第四项，《中华人民共和国安全生产法》第一百零二条、第九十九条第二项、第九十九条第一项，《工贸企业粉尘防爆安全规定》第二十七条第二项，《工贸企业有限空间作业安全规定》第十九条，《安全生产违法行为行政处罚办法》第五十三条的规定,对其</w:t>
            </w:r>
            <w:r>
              <w:rPr>
                <w:rFonts w:hint="eastAsia" w:ascii="方正仿宋简体" w:hAnsi="方正仿宋简体" w:eastAsia="方正仿宋简体" w:cs="方正仿宋简体"/>
                <w:kern w:val="0"/>
                <w:sz w:val="24"/>
                <w:szCs w:val="24"/>
                <w:lang w:val="en-US" w:eastAsia="zh-CN" w:bidi="ar"/>
              </w:rPr>
              <w:t>给予行政处罚。</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对</w:t>
            </w:r>
            <w:r>
              <w:rPr>
                <w:rFonts w:hint="default" w:ascii="Times New Roman" w:hAnsi="Times New Roman" w:eastAsia="方正仿宋简体" w:cs="Times New Roman"/>
                <w:b w:val="0"/>
                <w:bCs w:val="0"/>
                <w:sz w:val="24"/>
                <w:szCs w:val="24"/>
                <w:u w:val="none"/>
                <w:lang w:eastAsia="zh-CN"/>
              </w:rPr>
              <w:t>哈密</w:t>
            </w:r>
            <w:r>
              <w:rPr>
                <w:rFonts w:hint="default" w:ascii="Times New Roman" w:hAnsi="Times New Roman" w:eastAsia="方正仿宋简体" w:cs="Times New Roman"/>
                <w:b w:val="0"/>
                <w:bCs w:val="0"/>
                <w:sz w:val="24"/>
                <w:szCs w:val="24"/>
                <w:u w:val="none"/>
                <w:lang w:val="en-US" w:eastAsia="zh-CN"/>
              </w:rPr>
              <w:t>泰昆饲料</w:t>
            </w:r>
            <w:r>
              <w:rPr>
                <w:rFonts w:hint="default" w:ascii="Times New Roman" w:hAnsi="Times New Roman" w:eastAsia="方正仿宋简体" w:cs="Times New Roman"/>
                <w:b w:val="0"/>
                <w:bCs w:val="0"/>
                <w:sz w:val="24"/>
                <w:szCs w:val="24"/>
                <w:u w:val="none"/>
                <w:lang w:eastAsia="zh-CN"/>
              </w:rPr>
              <w:t>有限责任公司</w:t>
            </w:r>
            <w:r>
              <w:rPr>
                <w:rFonts w:hint="default" w:ascii="Times New Roman" w:hAnsi="Times New Roman" w:eastAsia="方正仿宋简体" w:cs="Times New Roman"/>
                <w:b w:val="0"/>
                <w:bCs w:val="0"/>
                <w:sz w:val="24"/>
                <w:szCs w:val="24"/>
                <w:u w:val="none"/>
                <w:lang w:val="en-US" w:eastAsia="zh-CN"/>
              </w:rPr>
              <w:t>作出</w:t>
            </w:r>
            <w:r>
              <w:rPr>
                <w:rFonts w:hint="default" w:ascii="Times New Roman" w:hAnsi="Times New Roman" w:eastAsia="方正仿宋简体" w:cs="Times New Roman"/>
                <w:b w:val="0"/>
                <w:bCs w:val="0"/>
                <w:sz w:val="24"/>
                <w:szCs w:val="24"/>
                <w:u w:val="none"/>
                <w:lang w:eastAsia="zh-CN"/>
              </w:rPr>
              <w:t>责令限期改正，处人民币125000元（大写：壹拾贰万伍仟元整）罚款的行政处罚</w:t>
            </w:r>
            <w:r>
              <w:rPr>
                <w:rFonts w:hint="default" w:ascii="Times New Roman" w:hAnsi="Times New Roman" w:eastAsia="方正仿宋简体" w:cs="Times New Roman"/>
                <w:b w:val="0"/>
                <w:bCs w:val="0"/>
                <w:kern w:val="0"/>
                <w:sz w:val="24"/>
                <w:u w:val="none"/>
                <w:lang w:bidi="ar"/>
              </w:rPr>
              <w:t>。</w:t>
            </w:r>
          </w:p>
        </w:tc>
      </w:tr>
      <w:tr w14:paraId="5038A66D">
        <w:trPr>
          <w:trHeight w:val="5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哈密</w:t>
            </w:r>
            <w:r>
              <w:rPr>
                <w:rFonts w:hint="eastAsia" w:eastAsia="方正仿宋简体" w:cs="Times New Roman"/>
                <w:kern w:val="0"/>
                <w:sz w:val="24"/>
                <w:lang w:val="en-US" w:eastAsia="zh-CN" w:bidi="ar"/>
              </w:rPr>
              <w:t>泰昆饲料</w:t>
            </w:r>
            <w:r>
              <w:rPr>
                <w:rFonts w:hint="default" w:ascii="Times New Roman" w:hAnsi="Times New Roman" w:eastAsia="方正仿宋简体" w:cs="Times New Roman"/>
                <w:kern w:val="0"/>
                <w:sz w:val="24"/>
                <w:lang w:val="en-US" w:eastAsia="zh-CN" w:bidi="ar"/>
              </w:rPr>
              <w:t>有限责任公司</w:t>
            </w:r>
          </w:p>
        </w:tc>
      </w:tr>
      <w:tr w14:paraId="4038285D">
        <w:tblPrEx>
          <w:tblCellMar>
            <w:top w:w="0" w:type="dxa"/>
            <w:left w:w="0" w:type="dxa"/>
            <w:bottom w:w="0" w:type="dxa"/>
            <w:right w:w="0" w:type="dxa"/>
          </w:tblCellMar>
        </w:tblPrEx>
        <w:trPr>
          <w:trHeight w:val="5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91659040MA78PU8R73</w:t>
            </w:r>
          </w:p>
        </w:tc>
      </w:tr>
      <w:tr w14:paraId="755A31DD">
        <w:trPr>
          <w:trHeight w:val="535"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覃岷船</w:t>
            </w:r>
          </w:p>
        </w:tc>
      </w:tr>
      <w:tr w14:paraId="44D8518E">
        <w:tblPrEx>
          <w:tblCellMar>
            <w:top w:w="0" w:type="dxa"/>
            <w:left w:w="0" w:type="dxa"/>
            <w:bottom w:w="0" w:type="dxa"/>
            <w:right w:w="0" w:type="dxa"/>
          </w:tblCellMar>
        </w:tblPrEx>
        <w:trPr>
          <w:trHeight w:val="60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2025年</w:t>
            </w:r>
            <w:r>
              <w:rPr>
                <w:rFonts w:hint="eastAsia" w:eastAsia="方正仿宋简体" w:cs="Times New Roman"/>
                <w:color w:val="000000" w:themeColor="text1"/>
                <w:kern w:val="0"/>
                <w:sz w:val="24"/>
                <w:lang w:val="en-US" w:eastAsia="zh-CN" w:bidi="ar"/>
                <w14:textFill>
                  <w14:solidFill>
                    <w14:schemeClr w14:val="tx1"/>
                  </w14:solidFill>
                </w14:textFill>
              </w:rPr>
              <w:t>11</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月</w:t>
            </w:r>
            <w:r>
              <w:rPr>
                <w:rFonts w:hint="eastAsia" w:eastAsia="方正仿宋简体" w:cs="Times New Roman"/>
                <w:color w:val="000000" w:themeColor="text1"/>
                <w:kern w:val="0"/>
                <w:sz w:val="24"/>
                <w:lang w:val="en-US" w:eastAsia="zh-CN" w:bidi="ar"/>
                <w14:textFill>
                  <w14:solidFill>
                    <w14:schemeClr w14:val="tx1"/>
                  </w14:solidFill>
                </w14:textFill>
              </w:rPr>
              <w:t>25</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日</w:t>
            </w:r>
          </w:p>
        </w:tc>
      </w:tr>
    </w:tbl>
    <w:p w14:paraId="4E12FB89">
      <w:pPr>
        <w:keepNext w:val="0"/>
        <w:keepLines w:val="0"/>
        <w:pageBreakBefore w:val="0"/>
        <w:kinsoku/>
        <w:wordWrap/>
        <w:overflowPunct/>
        <w:topLinePunct w:val="0"/>
        <w:autoSpaceDE/>
        <w:autoSpaceDN/>
        <w:bidi w:val="0"/>
        <w:adjustRightInd/>
        <w:snapToGrid/>
        <w:spacing w:line="400" w:lineRule="exact"/>
      </w:pPr>
    </w:p>
    <w:p w14:paraId="1478ED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9567E9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17</w:t>
      </w:r>
      <w:bookmarkStart w:id="0" w:name="_GoBack"/>
      <w:bookmarkEnd w:id="0"/>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268"/>
        <w:gridCol w:w="7869"/>
      </w:tblGrid>
      <w:tr w14:paraId="0EE72530">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2B3FDDFE">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GM</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4-2</w:t>
            </w:r>
            <w:r>
              <w:rPr>
                <w:rFonts w:hint="eastAsia" w:ascii="黑体" w:hAnsi="宋体" w:eastAsia="黑体" w:cs="黑体"/>
                <w:kern w:val="0"/>
                <w:sz w:val="32"/>
                <w:szCs w:val="32"/>
                <w:lang w:bidi="ar"/>
              </w:rPr>
              <w:t>号）</w:t>
            </w:r>
          </w:p>
        </w:tc>
      </w:tr>
      <w:tr w14:paraId="3E67F945">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F36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8DB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eastAsia="zh-CN" w:bidi="ar"/>
              </w:rPr>
            </w:pPr>
            <w:r>
              <w:rPr>
                <w:rFonts w:hint="eastAsia" w:eastAsia="方正仿宋简体" w:cs="Times New Roman"/>
                <w:kern w:val="0"/>
                <w:sz w:val="24"/>
                <w:lang w:eastAsia="zh-CN" w:bidi="ar"/>
              </w:rPr>
              <w:t>（十三师）应急罚〔2025〕</w:t>
            </w:r>
            <w:r>
              <w:rPr>
                <w:rFonts w:hint="eastAsia" w:eastAsia="方正仿宋简体" w:cs="Times New Roman"/>
                <w:kern w:val="0"/>
                <w:sz w:val="24"/>
                <w:lang w:val="en-US" w:eastAsia="zh-CN" w:bidi="ar"/>
              </w:rPr>
              <w:t>GM</w:t>
            </w:r>
            <w:r>
              <w:rPr>
                <w:rFonts w:hint="eastAsia" w:eastAsia="方正仿宋简体" w:cs="Times New Roman"/>
                <w:kern w:val="0"/>
                <w:sz w:val="24"/>
                <w:lang w:eastAsia="zh-CN" w:bidi="ar"/>
              </w:rPr>
              <w:t>0</w:t>
            </w:r>
            <w:r>
              <w:rPr>
                <w:rFonts w:hint="eastAsia" w:eastAsia="方正仿宋简体" w:cs="Times New Roman"/>
                <w:kern w:val="0"/>
                <w:sz w:val="24"/>
                <w:lang w:val="en-US" w:eastAsia="zh-CN" w:bidi="ar"/>
              </w:rPr>
              <w:t>4-2</w:t>
            </w:r>
            <w:r>
              <w:rPr>
                <w:rFonts w:hint="eastAsia" w:eastAsia="方正仿宋简体" w:cs="Times New Roman"/>
                <w:kern w:val="0"/>
                <w:sz w:val="24"/>
                <w:lang w:eastAsia="zh-CN" w:bidi="ar"/>
              </w:rPr>
              <w:t>号</w:t>
            </w:r>
          </w:p>
        </w:tc>
      </w:tr>
      <w:tr w14:paraId="3EE2FDB3">
        <w:tblPrEx>
          <w:tblCellMar>
            <w:top w:w="0" w:type="dxa"/>
            <w:left w:w="0" w:type="dxa"/>
            <w:bottom w:w="0" w:type="dxa"/>
            <w:right w:w="0" w:type="dxa"/>
          </w:tblCellMar>
        </w:tblPrEx>
        <w:trPr>
          <w:trHeight w:val="88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C84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9F7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哈密</w:t>
            </w:r>
            <w:r>
              <w:rPr>
                <w:rFonts w:hint="eastAsia" w:eastAsia="方正仿宋简体" w:cs="Times New Roman"/>
                <w:kern w:val="0"/>
                <w:sz w:val="24"/>
                <w:lang w:val="en-US" w:eastAsia="zh-CN" w:bidi="ar"/>
              </w:rPr>
              <w:t>泰昆饲料</w:t>
            </w:r>
            <w:r>
              <w:rPr>
                <w:rFonts w:hint="default" w:ascii="Times New Roman" w:hAnsi="Times New Roman" w:eastAsia="方正仿宋简体" w:cs="Times New Roman"/>
                <w:kern w:val="0"/>
                <w:sz w:val="24"/>
                <w:lang w:val="en-US" w:eastAsia="zh-CN" w:bidi="ar"/>
              </w:rPr>
              <w:t>有限责任公司</w:t>
            </w:r>
            <w:r>
              <w:rPr>
                <w:rFonts w:hint="eastAsia" w:eastAsia="方正仿宋简体" w:cs="Times New Roman"/>
                <w:kern w:val="0"/>
                <w:sz w:val="24"/>
                <w:lang w:val="en-US" w:eastAsia="zh-CN" w:bidi="ar"/>
              </w:rPr>
              <w:t>主要负责人覃某某未履行安全生产管理职责</w:t>
            </w:r>
          </w:p>
          <w:p w14:paraId="228537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val="en-US" w:eastAsia="zh-CN" w:bidi="ar"/>
              </w:rPr>
              <w:t>行政处罚案</w:t>
            </w:r>
          </w:p>
        </w:tc>
      </w:tr>
      <w:tr w14:paraId="2BB7B59A">
        <w:tblPrEx>
          <w:tblCellMar>
            <w:top w:w="0" w:type="dxa"/>
            <w:left w:w="0" w:type="dxa"/>
            <w:bottom w:w="0" w:type="dxa"/>
            <w:right w:w="0" w:type="dxa"/>
          </w:tblCellMar>
        </w:tblPrEx>
        <w:trPr>
          <w:trHeight w:val="4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C8BC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6D6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罚款</w:t>
            </w:r>
          </w:p>
        </w:tc>
      </w:tr>
      <w:tr w14:paraId="2C708293">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89D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097A8">
            <w:pPr>
              <w:keepNext w:val="0"/>
              <w:keepLines w:val="0"/>
              <w:pageBreakBefore w:val="0"/>
              <w:widowControl/>
              <w:kinsoku/>
              <w:wordWrap/>
              <w:overflowPunct/>
              <w:topLinePunct w:val="0"/>
              <w:autoSpaceDE/>
              <w:autoSpaceDN/>
              <w:bidi w:val="0"/>
              <w:adjustRightInd/>
              <w:snapToGrid/>
              <w:spacing w:line="400" w:lineRule="exact"/>
              <w:ind w:firstLine="504" w:firstLineChars="200"/>
              <w:jc w:val="both"/>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snapToGrid w:val="0"/>
                <w:color w:val="000000"/>
                <w:spacing w:val="6"/>
                <w:kern w:val="10"/>
                <w:sz w:val="24"/>
                <w:szCs w:val="24"/>
                <w:lang w:val="en-US" w:eastAsia="zh-CN" w:bidi="ar-SA"/>
              </w:rPr>
              <w:t>2025年10月28日，师市应急管理局对哈密泰昆饲料有限责任公司开展执法检查。发现哈密泰昆饲料有限责任公司主要存在：1.除尘器设置在厂房内未设置隔离措施；2.锅炉房刮板式出渣机齿轮链条处未设置防护罩；3.原料库门口未设置限高、限宽标识；4.机修间电焊机未设置漏电保护器；5.粉碎间内大量可燃性粉尘未执行粉尘清扫制度及时清理；6.中控室内配电控制柜前未设置绝缘胶垫；7.生产车间地下室设置3座豆油、棉油（约99m³左右）储罐且未设置防泄漏措施；8.玉米仓测温电缆损坏；9.根据安全设施设计生产车间划分为防爆区，粉碎间为20区，粉碎间内部分电气设施和电气线路为非防爆设施；10.棉油、豆油共3座储罐人孔未设置有限空间标识等问题，该公司主要负责人覃某某存在未履行安全生产管理职责的违法行为。</w:t>
            </w:r>
          </w:p>
        </w:tc>
      </w:tr>
      <w:tr w14:paraId="12485BA4">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960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FADD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哈密泰昆饲料有限责任公司主要负责人覃某某涉嫌违反《中华人民共和国安全生产法》第二十一条第五项的规定</w:t>
            </w:r>
            <w:r>
              <w:rPr>
                <w:rFonts w:hint="eastAsia" w:ascii="Times New Roman" w:hAnsi="Times New Roman" w:eastAsia="仿宋" w:cs="Times New Roman"/>
                <w:snapToGrid w:val="0"/>
                <w:color w:val="000000"/>
                <w:spacing w:val="6"/>
                <w:kern w:val="10"/>
                <w:sz w:val="23"/>
                <w:szCs w:val="23"/>
                <w:lang w:val="en-US" w:eastAsia="zh-CN" w:bidi="ar-SA"/>
              </w:rPr>
              <w:t>，依据《中华人民共和国安全生产法》第九十四条第一款的规定</w:t>
            </w:r>
            <w:r>
              <w:rPr>
                <w:rFonts w:hint="eastAsia" w:eastAsia="仿宋" w:cs="Times New Roman"/>
                <w:snapToGrid w:val="0"/>
                <w:color w:val="000000"/>
                <w:spacing w:val="6"/>
                <w:kern w:val="10"/>
                <w:sz w:val="23"/>
                <w:szCs w:val="23"/>
                <w:lang w:val="en-US" w:eastAsia="zh-CN" w:bidi="ar-SA"/>
              </w:rPr>
              <w:t>,对其</w:t>
            </w:r>
            <w:r>
              <w:rPr>
                <w:rFonts w:hint="default" w:ascii="Times New Roman" w:hAnsi="Times New Roman" w:eastAsia="方正仿宋简体" w:cs="Times New Roman"/>
                <w:kern w:val="0"/>
                <w:sz w:val="24"/>
                <w:lang w:val="en-US" w:eastAsia="zh-CN" w:bidi="ar"/>
              </w:rPr>
              <w:t>给予行政处罚。</w:t>
            </w:r>
          </w:p>
        </w:tc>
      </w:tr>
      <w:tr w14:paraId="7C7EED85">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C6E6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6C26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对</w:t>
            </w:r>
            <w:r>
              <w:rPr>
                <w:rFonts w:hint="default" w:ascii="Times New Roman" w:hAnsi="Times New Roman" w:eastAsia="方正仿宋简体" w:cs="Times New Roman"/>
                <w:b w:val="0"/>
                <w:bCs w:val="0"/>
                <w:sz w:val="24"/>
                <w:szCs w:val="24"/>
                <w:u w:val="none"/>
                <w:lang w:eastAsia="zh-CN"/>
              </w:rPr>
              <w:t>哈密泰昆饲料有限责任公司主要负责人覃某某</w:t>
            </w:r>
            <w:r>
              <w:rPr>
                <w:rFonts w:hint="default" w:ascii="Times New Roman" w:hAnsi="Times New Roman" w:eastAsia="方正仿宋简体" w:cs="Times New Roman"/>
                <w:b w:val="0"/>
                <w:bCs w:val="0"/>
                <w:sz w:val="24"/>
                <w:szCs w:val="24"/>
                <w:u w:val="none"/>
                <w:lang w:val="en-US" w:eastAsia="zh-CN"/>
              </w:rPr>
              <w:t>作出</w:t>
            </w:r>
            <w:r>
              <w:rPr>
                <w:rFonts w:hint="default" w:ascii="Times New Roman" w:hAnsi="Times New Roman" w:eastAsia="方正仿宋简体" w:cs="Times New Roman"/>
                <w:b w:val="0"/>
                <w:bCs w:val="0"/>
                <w:sz w:val="24"/>
                <w:szCs w:val="24"/>
                <w:u w:val="none"/>
                <w:lang w:eastAsia="zh-CN"/>
              </w:rPr>
              <w:t>责令限期改正，处人民币25000元（大写：贰万伍仟元整）罚款的行政处罚</w:t>
            </w:r>
            <w:r>
              <w:rPr>
                <w:rFonts w:hint="default" w:ascii="Times New Roman" w:hAnsi="Times New Roman" w:eastAsia="方正仿宋简体" w:cs="Times New Roman"/>
                <w:b w:val="0"/>
                <w:bCs w:val="0"/>
                <w:kern w:val="0"/>
                <w:sz w:val="24"/>
                <w:u w:val="none"/>
                <w:lang w:bidi="ar"/>
              </w:rPr>
              <w:t>。</w:t>
            </w:r>
          </w:p>
        </w:tc>
      </w:tr>
      <w:tr w14:paraId="1587F7E6">
        <w:tblPrEx>
          <w:tblCellMar>
            <w:top w:w="0" w:type="dxa"/>
            <w:left w:w="0" w:type="dxa"/>
            <w:bottom w:w="0" w:type="dxa"/>
            <w:right w:w="0" w:type="dxa"/>
          </w:tblCellMar>
        </w:tblPrEx>
        <w:trPr>
          <w:trHeight w:val="5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630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4D7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覃某某</w:t>
            </w:r>
          </w:p>
        </w:tc>
      </w:tr>
      <w:tr w14:paraId="0923AD18">
        <w:tblPrEx>
          <w:tblCellMar>
            <w:top w:w="0" w:type="dxa"/>
            <w:left w:w="0" w:type="dxa"/>
            <w:bottom w:w="0" w:type="dxa"/>
            <w:right w:w="0" w:type="dxa"/>
          </w:tblCellMar>
        </w:tblPrEx>
        <w:trPr>
          <w:trHeight w:val="5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765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F04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w:t>
            </w:r>
          </w:p>
        </w:tc>
      </w:tr>
      <w:tr w14:paraId="30A52A30">
        <w:tblPrEx>
          <w:tblCellMar>
            <w:top w:w="0" w:type="dxa"/>
            <w:left w:w="0" w:type="dxa"/>
            <w:bottom w:w="0" w:type="dxa"/>
            <w:right w:w="0" w:type="dxa"/>
          </w:tblCellMar>
        </w:tblPrEx>
        <w:trPr>
          <w:trHeight w:val="535"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6F2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7FC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w:t>
            </w:r>
          </w:p>
        </w:tc>
      </w:tr>
      <w:tr w14:paraId="108DC162">
        <w:tblPrEx>
          <w:tblCellMar>
            <w:top w:w="0" w:type="dxa"/>
            <w:left w:w="0" w:type="dxa"/>
            <w:bottom w:w="0" w:type="dxa"/>
            <w:right w:w="0" w:type="dxa"/>
          </w:tblCellMar>
        </w:tblPrEx>
        <w:trPr>
          <w:trHeight w:val="60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2E3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C8B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2025年</w:t>
            </w:r>
            <w:r>
              <w:rPr>
                <w:rFonts w:hint="eastAsia" w:eastAsia="方正仿宋简体" w:cs="Times New Roman"/>
                <w:color w:val="000000" w:themeColor="text1"/>
                <w:kern w:val="0"/>
                <w:sz w:val="24"/>
                <w:lang w:val="en-US" w:eastAsia="zh-CN" w:bidi="ar"/>
                <w14:textFill>
                  <w14:solidFill>
                    <w14:schemeClr w14:val="tx1"/>
                  </w14:solidFill>
                </w14:textFill>
              </w:rPr>
              <w:t>11</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月</w:t>
            </w:r>
            <w:r>
              <w:rPr>
                <w:rFonts w:hint="eastAsia" w:eastAsia="方正仿宋简体" w:cs="Times New Roman"/>
                <w:color w:val="000000" w:themeColor="text1"/>
                <w:kern w:val="0"/>
                <w:sz w:val="24"/>
                <w:lang w:val="en-US" w:eastAsia="zh-CN" w:bidi="ar"/>
                <w14:textFill>
                  <w14:solidFill>
                    <w14:schemeClr w14:val="tx1"/>
                  </w14:solidFill>
                </w14:textFill>
              </w:rPr>
              <w:t>25</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日</w:t>
            </w:r>
          </w:p>
        </w:tc>
      </w:tr>
    </w:tbl>
    <w:p w14:paraId="4650854E">
      <w:pPr>
        <w:keepNext w:val="0"/>
        <w:keepLines w:val="0"/>
        <w:pageBreakBefore w:val="0"/>
        <w:kinsoku/>
        <w:wordWrap/>
        <w:overflowPunct/>
        <w:topLinePunct w:val="0"/>
        <w:autoSpaceDE/>
        <w:autoSpaceDN/>
        <w:bidi w:val="0"/>
        <w:adjustRightInd/>
        <w:snapToGrid/>
        <w:spacing w:line="400" w:lineRule="exact"/>
      </w:pPr>
    </w:p>
    <w:p w14:paraId="5F213F73">
      <w:pPr>
        <w:pStyle w:val="2"/>
      </w:pPr>
    </w:p>
    <w:p w14:paraId="63C14440"/>
    <w:sectPr>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EDF2FD-D41C-4ACD-8C6F-12F7CDF2BD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29FBAA-B33D-49EE-AAC7-AF2B553D0AA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B7CF50F-5454-4A84-A52A-12AF6FA82A9B}"/>
  </w:font>
  <w:font w:name="方正小标宋简体">
    <w:panose1 w:val="03000509000000000000"/>
    <w:charset w:val="86"/>
    <w:family w:val="auto"/>
    <w:pitch w:val="default"/>
    <w:sig w:usb0="00000001" w:usb1="080E0000" w:usb2="00000000" w:usb3="00000000" w:csb0="00040000" w:csb1="00000000"/>
    <w:embedRegular r:id="rId4" w:fontKey="{8F53A301-1980-418C-A2B4-F451B85FBCCB}"/>
  </w:font>
  <w:font w:name="微软雅黑">
    <w:panose1 w:val="020B0503020204020204"/>
    <w:charset w:val="86"/>
    <w:family w:val="swiss"/>
    <w:pitch w:val="default"/>
    <w:sig w:usb0="80000287" w:usb1="2ACF3C50" w:usb2="00000016" w:usb3="00000000" w:csb0="0004001F" w:csb1="00000000"/>
    <w:embedRegular r:id="rId5" w:fontKey="{59FE45D5-2723-4EBF-B71C-14DBF7C266FB}"/>
  </w:font>
  <w:font w:name="方正仿宋简体">
    <w:panose1 w:val="02000000000000000000"/>
    <w:charset w:val="86"/>
    <w:family w:val="auto"/>
    <w:pitch w:val="default"/>
    <w:sig w:usb0="00000001" w:usb1="080E0000" w:usb2="00000000" w:usb3="00000000" w:csb0="00040000" w:csb1="00000000"/>
    <w:embedRegular r:id="rId6" w:fontKey="{7AB566EF-0B21-47D2-A4AB-B7C0873993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8FF78D2"/>
    <w:rsid w:val="104C4433"/>
    <w:rsid w:val="113244BB"/>
    <w:rsid w:val="1F8313F8"/>
    <w:rsid w:val="203B1D0B"/>
    <w:rsid w:val="23EC6FE5"/>
    <w:rsid w:val="2843373F"/>
    <w:rsid w:val="2A4669A4"/>
    <w:rsid w:val="36034CE4"/>
    <w:rsid w:val="3B312645"/>
    <w:rsid w:val="40501A43"/>
    <w:rsid w:val="47F54F89"/>
    <w:rsid w:val="52D653B5"/>
    <w:rsid w:val="52D85B38"/>
    <w:rsid w:val="582F2CDA"/>
    <w:rsid w:val="5E0A6913"/>
    <w:rsid w:val="60A8478B"/>
    <w:rsid w:val="67ED27A2"/>
    <w:rsid w:val="6DA150F9"/>
    <w:rsid w:val="6F3D2EDB"/>
    <w:rsid w:val="797E5EFB"/>
    <w:rsid w:val="7BAF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1435</Words>
  <Characters>1553</Characters>
  <Lines>0</Lines>
  <Paragraphs>0</Paragraphs>
  <TotalTime>0</TotalTime>
  <ScaleCrop>false</ScaleCrop>
  <LinksUpToDate>false</LinksUpToDate>
  <CharactersWithSpaces>1557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2025-12-10T08:11:53Z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