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079AB">
      <w:pPr>
        <w:pStyle w:val="11"/>
        <w:bidi w:val="0"/>
        <w:spacing w:beforeAutospacing="0" w:afterAutospacing="0" w:line="460" w:lineRule="exact"/>
      </w:pPr>
      <w:bookmarkStart w:id="3" w:name="_GoBack"/>
      <w:bookmarkStart w:id="0" w:name="heading_0"/>
      <w:r>
        <w:rPr>
          <w:rFonts w:hint="eastAsia"/>
        </w:rPr>
        <w:t>十三师环审表〔2026〕 号</w:t>
      </w:r>
    </w:p>
    <w:p w14:paraId="37BB85CE">
      <w:pPr>
        <w:pStyle w:val="11"/>
        <w:bidi w:val="0"/>
        <w:spacing w:beforeAutospacing="0" w:afterAutospacing="0" w:line="460" w:lineRule="exact"/>
      </w:pPr>
    </w:p>
    <w:p w14:paraId="55B55D1A">
      <w:pPr>
        <w:pStyle w:val="15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4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关于黄田农场建筑材料建设项目（一期）环境影响报告表的批复</w:t>
      </w:r>
      <mc:AlternateContent>
        <mc:Choice Requires="wpsCustomData">
          <wpsCustomData:docfieldEnd id="0"/>
        </mc:Choice>
      </mc:AlternateContent>
      <w:bookmarkEnd w:id="0"/>
    </w:p>
    <w:bookmarkEnd w:id="3"/>
    <w:p w14:paraId="7357991F">
      <w:pPr>
        <w:pStyle w:val="11"/>
        <w:bidi w:val="0"/>
        <w:spacing w:beforeAutospacing="0" w:afterAutospacing="0" w:line="300" w:lineRule="exact"/>
      </w:pPr>
    </w:p>
    <w:p w14:paraId="026FA2BB">
      <w:pPr>
        <w:pStyle w:val="18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mc:AlternateContent>
        <mc:Choice Requires="wpsCustomData">
          <wpsCustomData:docfieldStart id="1" docfieldname="主送机关_1" hidden="0" print="1" readonly="0" index="5"/>
        </mc:Choice>
      </mc:AlternateContent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新疆红星城市开发建设有限公司</w:t>
      </w:r>
      <mc:AlternateContent>
        <mc:Choice Requires="wpsCustomData">
          <wpsCustomData:docfieldEnd id="1"/>
        </mc:Choice>
      </mc:AlternateContent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</w:t>
      </w:r>
    </w:p>
    <w:p w14:paraId="10FDC58A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《黄田农场建筑材料建设项目（一期）环境影响报告表》（以下简称 “报告表”）及相关材料收悉，现批复如下：</w:t>
      </w:r>
    </w:p>
    <w:p w14:paraId="10688422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项目位于新疆生产建设兵团第十三师新星市黄田农场九连，中心地理位置坐标为东经 93°54′19.3758″、北纬 42°51′20.9142″。建设性质为新建，总占地面积 96404.48m²，用地性质为国有未利用土地。建设内容包括破碎筛分联合车间、原料及成品堆场、储运系统、公用及辅助工程、环保工程等，以外购周边建筑砂石为原料，采用 “两级破碎 ＋ 多层筛分 ＋ 水洗脱水” 工艺生产建筑骨料及水洗机制砂，设计总产能 50 万立方米 ／ 年。项目总投资 458 万元，其中环保投资 22.9 万元，占总投资额的 5％。</w:t>
      </w:r>
    </w:p>
    <w:p w14:paraId="3685729B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项目符合国家、地方相关法律法规和产业政策要求，在严格落实报告表提出的环保措施和本批复的前提下，从环保角度考虑，项目建设和运营造成的不良环境影响可得到减缓和控制。原则同意你单位按照报告表中所列建设项目的性质、规模、地点、采用的生产工艺及环保措施进行项目建设。</w:t>
      </w:r>
    </w:p>
    <w:p w14:paraId="6FB35B10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项目建设和运行管理中落实报告表提出的环保要求，严格执行环保 “三同时” 制度，重点做好以下工作：</w:t>
      </w:r>
    </w:p>
    <w:p w14:paraId="0A4B6F6B">
      <w:pPr>
        <w:pStyle w:val="11"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/>
          <w:bCs/>
          <w:sz w:val="32"/>
          <w:szCs w:val="32"/>
        </w:rPr>
      </w:pPr>
      <w:bookmarkStart w:id="1" w:name="heading_1"/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一、</w:t>
      </w:r>
      <w:r>
        <w:rPr>
          <w:rFonts w:ascii="Times New Roman" w:hAnsi="Times New Roman" w:eastAsia="仿宋_GB2312" w:cs="仿宋_GB2312"/>
          <w:b/>
          <w:bCs/>
          <w:sz w:val="32"/>
          <w:szCs w:val="32"/>
        </w:rPr>
        <w:t>施工期</w:t>
      </w:r>
      <w:bookmarkEnd w:id="1"/>
    </w:p>
    <w:p w14:paraId="5D558D53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加强环保工作，落实内部环境管理机构和人员配置，严格按照报告表有关要求落实相关措施，防止施工废水、扬尘、噪声污染，水土流失和生态破坏。</w:t>
      </w:r>
    </w:p>
    <w:p w14:paraId="7FE775ED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施工区域设置围挡，建筑材料采用篷布覆盖，对施工场地采取定期洒水和及时清扫等抑尘措施；施工生产废水经隔油池、沉淀池处理后全部回用于施工降尘、车辆冲洗，不外排；施工生活污水经预处理后回用，不外排。选用低噪声施工机械，加强设备维护管理，运输车辆进出场地减速慢行、禁止鸣笛，合理安排施工时间，禁止夜间施工，确保施工期噪声满足《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建筑施工噪声排放标准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》（GB12523－2025）要求。</w:t>
      </w:r>
    </w:p>
    <w:p w14:paraId="5FA90FC2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建筑垃圾优先回收利用，无法回收的集中收集后清运至指定处置场所；施工人员生活垃圾由环卫部门统一收集处置。严格划定施工边界，严禁超范围扰动地表，施工结束后及时对临时占地进</w:t>
      </w:r>
      <w:r>
        <w:rPr>
          <w:rFonts w:ascii="Times New Roman" w:hAnsi="Times New Roman" w:eastAsia="仿宋_GB2312" w:cs="仿宋_GB2312"/>
          <w:b w:val="0"/>
          <w:bCs w:val="0"/>
          <w:spacing wpsCustomData:val="-6" w:val="7"/>
          <w:sz w:val="32"/>
          <w:szCs w:val="32"/>
        </w:rPr>
        <w:t>行砾石覆盖恢复，保护戈壁砾幕结皮，因地制宜开展生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态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恢复。</w:t>
      </w:r>
    </w:p>
    <w:p w14:paraId="162DAFA9">
      <w:pPr>
        <w:pStyle w:val="11"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/>
          <w:bCs/>
          <w:sz w:val="32"/>
          <w:szCs w:val="32"/>
        </w:rPr>
      </w:pPr>
      <w:bookmarkStart w:id="2" w:name="heading_2"/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二、</w:t>
      </w:r>
      <w:r>
        <w:rPr>
          <w:rFonts w:ascii="Times New Roman" w:hAnsi="Times New Roman" w:eastAsia="仿宋_GB2312" w:cs="仿宋_GB2312"/>
          <w:b/>
          <w:bCs/>
          <w:sz w:val="32"/>
          <w:szCs w:val="32"/>
        </w:rPr>
        <w:t>运营期</w:t>
      </w:r>
      <w:bookmarkEnd w:id="2"/>
    </w:p>
    <w:p w14:paraId="036C69DB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（一）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严格落实大气环境保护措施</w:t>
      </w:r>
    </w:p>
    <w:p w14:paraId="65F03EFA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Style w:val="19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19"/>
        </w:rPr>
        <w:t>有组织废气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：破碎、筛分工序产尘点设置集气罩，粉尘经集气罩收集后送入 1 套脉冲袋式除尘器（除尘效率≥99％）处理，通过 1 根 15m 高排气筒（DA001）排放，颗粒物排放浓度及速率满足《大气污染物综合排放标准》（GB16297－1996）表 2 二级标准限值要求。食堂油烟经油烟净化器（净化效率≥60％）处理后，通过屋顶专用排气筒排放，满足《饮食业油烟排放标准（试行）》（GB18483－2001）要求。</w:t>
      </w:r>
    </w:p>
    <w:p w14:paraId="4DC16CDA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Style w:val="19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19"/>
        </w:rPr>
        <w:t>无组织废气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原料、成品堆场设置围挡及防风抑尘网，非作业时段采用高密度防尘网全覆盖，配套自动喷淋系统定期洒水抑尘；厂内道路硬化，定时洒水清扫；运输车辆密闭苫盖，出场前经全自动洗车台冲洗；破碎筛分车间、皮带输送廊道全程封闭，下料口设置雾化喷淋抑尘。采取以上措施后，厂界颗粒物无组织排放满足《大气污染物综合排放标准》（GB16297－1996）无组织排放监控浓度限值要求。</w:t>
      </w:r>
    </w:p>
    <w:p w14:paraId="4C887F79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（二）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严格落实水环境保护措施</w:t>
      </w:r>
    </w:p>
    <w:p w14:paraId="02F745B0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洗砂废水经 3 座总容积 900m³ 的三级沉淀池沉淀处理后，全部回用于洗砂工序，循环利用率≥95％；车辆冲洗废水经隔油沉淀池处理后，回用于堆场喷淋抑尘，不外排。生活污水采用地埋式一体化污水处理设备（处理工艺：A／O ＋ 消毒）处理，出水满足《农村生活污水处理排放标准》（DB65 4275－2019）表 2 中</w:t>
      </w:r>
      <w:r>
        <w:rPr>
          <w:rFonts w:ascii="Times New Roman" w:hAnsi="Times New Roman" w:eastAsia="仿宋_GB2312" w:cs="仿宋_GB2312"/>
          <w:b w:val="0"/>
          <w:bCs w:val="0"/>
          <w:spacing wpsCustomData:val="12" w:val="22"/>
          <w:sz w:val="32"/>
          <w:szCs w:val="32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C</w:t>
      </w:r>
      <w:r>
        <w:rPr>
          <w:rFonts w:ascii="Times New Roman" w:hAnsi="Times New Roman" w:eastAsia="仿宋_GB2312" w:cs="仿宋_GB2312"/>
          <w:b w:val="0"/>
          <w:bCs w:val="0"/>
          <w:spacing wpsCustomData:val="12" w:val="22"/>
          <w:sz w:val="32"/>
          <w:szCs w:val="32"/>
        </w:rPr>
        <w:t xml:space="preserve"> 级标准后</w:t>
      </w:r>
      <w:r>
        <w:rPr>
          <w:rFonts w:ascii="Times New Roman" w:hAnsi="Times New Roman" w:eastAsia="仿宋_GB2312" w:cs="仿宋_GB2312"/>
          <w:b w:val="0"/>
          <w:bCs w:val="0"/>
          <w:spacing wpsCustomData:val="13" w:val="23"/>
          <w:sz w:val="32"/>
          <w:szCs w:val="32"/>
        </w:rPr>
        <w:t>，</w:t>
      </w:r>
      <w:r>
        <w:rPr>
          <w:rFonts w:ascii="Times New Roman" w:hAnsi="Times New Roman" w:eastAsia="仿宋_GB2312" w:cs="仿宋_GB2312"/>
          <w:b w:val="0"/>
          <w:bCs w:val="0"/>
          <w:spacing wpsCustomData:val="12" w:val="22"/>
          <w:sz w:val="32"/>
          <w:szCs w:val="32"/>
        </w:rPr>
        <w:t>全部回用于厂区洒水降</w:t>
      </w:r>
      <w:r>
        <w:rPr>
          <w:rFonts w:ascii="Times New Roman" w:hAnsi="Times New Roman" w:eastAsia="仿宋_GB2312" w:cs="仿宋_GB2312"/>
          <w:b w:val="0"/>
          <w:bCs w:val="0"/>
          <w:spacing wpsCustomData:val="13" w:val="23"/>
          <w:sz w:val="32"/>
          <w:szCs w:val="32"/>
        </w:rPr>
        <w:t>尘</w:t>
      </w:r>
      <w:r>
        <w:rPr>
          <w:rFonts w:ascii="Times New Roman" w:hAnsi="Times New Roman" w:eastAsia="仿宋_GB2312" w:cs="仿宋_GB2312"/>
          <w:b w:val="0"/>
          <w:bCs w:val="0"/>
          <w:spacing wpsCustomData:val="12" w:val="22"/>
          <w:sz w:val="32"/>
          <w:szCs w:val="32"/>
        </w:rPr>
        <w:t>、生态恢复</w:t>
      </w:r>
      <w:r>
        <w:rPr>
          <w:rFonts w:ascii="Times New Roman" w:hAnsi="Times New Roman" w:eastAsia="仿宋_GB2312" w:cs="仿宋_GB2312"/>
          <w:b w:val="0"/>
          <w:bCs w:val="0"/>
          <w:spacing wpsCustomData:val="13" w:val="23"/>
          <w:sz w:val="32"/>
          <w:szCs w:val="32"/>
        </w:rPr>
        <w:t>，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不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外排。</w:t>
      </w:r>
    </w:p>
    <w:p w14:paraId="6CD32381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（三）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严格落实声环境保护措施</w:t>
      </w:r>
    </w:p>
    <w:p w14:paraId="7B5B341F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严格落实报告表提出的声环境保护措施，选用低噪声生产设备，高噪声设备采取基础减振、封闭车间隔声等降噪措施；皮带输送采用全封闭廊道；定期维护设备，确保设备运行状态良好；厂区内运输车辆限速 15km／h、禁止鸣笛；夜间不安排生产。确保厂界环境噪声排放满足《工业企业厂界环境噪声排放标准》（GB12348－2008）中 2 类标准要求。</w:t>
      </w:r>
    </w:p>
    <w:p w14:paraId="2F6FD5C0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（四）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严格落实固体废物污染防治措施</w:t>
      </w:r>
    </w:p>
    <w:p w14:paraId="65F1D17A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Style w:val="19"/>
          <w:rFonts w:hint="eastAsia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19"/>
        </w:rPr>
        <w:t>危险废物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设备检修产生的废机油（HW08，900－214－08）、废油桶（HW08，900－249－08）分类收集于专用密闭容器，暂存于厂区危废贮存点，定期委托具有相应资质的单位清运处置，严格执行危险废物转移联单制度。危废贮存点按照《危险废物贮存污染控制标准》（GB18597－2023）建设，落实防雨、防渗、防流失 “三防” 措施，设置围堰、泄漏收集装置，张贴危险废物警示标志，由专人管理并建立管理台账。含油抹布按豁免管理要求混入生活垃圾处置。</w:t>
      </w:r>
    </w:p>
    <w:p w14:paraId="3927F13A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Style w:val="19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19"/>
        </w:rPr>
        <w:t>一般工业固体废物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：除尘器收尘、沉淀池沉渣、筛下废石全部回用于生产或回填区域历史遗留采坑；废布袋交由生产厂家回收处置；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污水处理设施污泥由环卫部门定期清掏，清运至指定垃圾处理场所统一处置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</w:t>
      </w:r>
    </w:p>
    <w:p w14:paraId="6F571E06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Style w:val="19"/>
          <w:rFonts w:hint="eastAsia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19"/>
        </w:rPr>
        <w:t>生活垃圾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生活垃圾设置分类收集箱，定期清运至新疆兵团第十三师红星一场生活垃圾处理工程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处置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</w:t>
      </w:r>
    </w:p>
    <w:p w14:paraId="4F053A58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（五）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严格落实环境风险防范措施</w:t>
      </w:r>
    </w:p>
    <w:p w14:paraId="63EC92BC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严格落实报告表提出的环境风险防范措施。制定突发环境事件应急预案并报我局备案，储备消防沙、吸油毡、灭火器等应急物资，定期开展环境风险应急培训和演练。加强危废贮存点日常巡查检修，防止废机油泄漏引发土壤、地下水污染；加强废气处理设施运维管理，制定除尘器故障等非正常工况应急处置措施，故障期间立即停止对应生产工序，确保污染物稳定达标排放。</w:t>
      </w:r>
    </w:p>
    <w:p w14:paraId="661EF28C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（六）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严格落实土壤及地下水污染防治措施</w:t>
      </w:r>
    </w:p>
    <w:p w14:paraId="4BE11267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根据《环境影响评价技术导则 地下水环境》（HJ610－2016）要求，将厂区划分为重点防渗区、一般防渗区和简单防渗区，分级落实防渗措施：重点防渗区为危废贮存点、一体化污水处理设备、沉淀池，防渗层采用 2mm 厚高密度聚乙烯，渗透系数≤10</w:t>
      </w:r>
      <w:r>
        <w:rPr>
          <w:rFonts w:hint="eastAsia" w:cs="仿宋_GB2312"/>
          <w:b w:val="0"/>
          <w:bCs w:val="0"/>
          <w:sz w:val="32"/>
          <w:szCs w:val="32"/>
          <w:vertAlign w:val="superscript"/>
          <w:lang w:val="en-US" w:eastAsia="zh-CN"/>
        </w:rPr>
        <w:t>-10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cm／s；一般防渗区包括原料堆场、成品堆场、机修间，采用混凝土硬化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+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 xml:space="preserve"> 防渗涂层，渗透系数≤10</w:t>
      </w:r>
      <w:r>
        <w:rPr>
          <w:rFonts w:hint="eastAsia" w:cs="仿宋_GB2312"/>
          <w:b w:val="0"/>
          <w:bCs w:val="0"/>
          <w:sz w:val="32"/>
          <w:szCs w:val="32"/>
          <w:vertAlign w:val="superscript"/>
          <w:lang w:val="en-US" w:eastAsia="zh-CN"/>
        </w:rPr>
        <w:t>-7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cm／s；办公区、厂区道路为简单防渗区，采取混凝土硬化措施。加强防渗设施日常维</w:t>
      </w:r>
      <w:r>
        <w:rPr>
          <w:rFonts w:ascii="Times New Roman" w:hAnsi="Times New Roman" w:eastAsia="仿宋_GB2312" w:cs="仿宋_GB2312"/>
          <w:b w:val="0"/>
          <w:bCs w:val="0"/>
          <w:spacing wpsCustomData:val="-6" w:val="0"/>
          <w:sz w:val="32"/>
          <w:szCs w:val="32"/>
        </w:rPr>
        <w:t>护</w:t>
      </w:r>
      <w:r>
        <w:rPr>
          <w:rFonts w:ascii="Times New Roman" w:hAnsi="Times New Roman" w:eastAsia="仿宋_GB2312" w:cs="仿宋_GB2312"/>
          <w:b w:val="0"/>
          <w:bCs w:val="0"/>
          <w:spacing wpsCustomData:val="-6" w:val="1"/>
          <w:sz w:val="32"/>
          <w:szCs w:val="32"/>
        </w:rPr>
        <w:t>，</w:t>
      </w:r>
      <w:r>
        <w:rPr>
          <w:rFonts w:ascii="Times New Roman" w:hAnsi="Times New Roman" w:eastAsia="仿宋_GB2312" w:cs="仿宋_GB2312"/>
          <w:b w:val="0"/>
          <w:bCs w:val="0"/>
          <w:spacing wpsCustomData:val="-6" w:val="0"/>
          <w:sz w:val="32"/>
          <w:szCs w:val="32"/>
        </w:rPr>
        <w:t>定期开展防渗效果检查，防止污染物下渗污染土壤和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地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下水。</w:t>
      </w:r>
    </w:p>
    <w:p w14:paraId="3BB32F79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eastAsia="楷体_GB2312"/>
          <w:b w:val="0"/>
          <w:bCs w:val="0"/>
          <w:sz w:val="32"/>
          <w:szCs w:val="32"/>
        </w:rPr>
      </w:pPr>
      <w:r>
        <w:rPr>
          <w:rFonts w:hint="eastAsia" w:cs="楷体_GB2312"/>
          <w:b w:val="0"/>
          <w:bCs w:val="0"/>
          <w:sz w:val="32"/>
          <w:szCs w:val="32"/>
          <w:lang w:eastAsia="zh-CN"/>
        </w:rPr>
        <w:t>（七）</w:t>
      </w: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严格落实生态保护措施</w:t>
      </w:r>
    </w:p>
    <w:p w14:paraId="3758BA6C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严格落实报告表提出的生态保护措施。施工期严格控制地表扰动范围，保护戈壁砾幕结皮与原生荒漠植被；运营期厂区周边及道路两侧设置绿化隔离带，选用本土耐旱固沙物种；服务期满后及时平整场地，拆除临时建（构）筑物，落实生态修复措施，恢复区域戈壁地貌。</w:t>
      </w:r>
    </w:p>
    <w:p w14:paraId="3BD8D14F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/>
          <w:bCs/>
          <w:sz w:val="32"/>
          <w:szCs w:val="32"/>
        </w:rPr>
      </w:pPr>
      <w:r>
        <w:rPr>
          <w:rFonts w:hint="eastAsia" w:cs="仿宋_GB2312"/>
          <w:b/>
          <w:bCs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/>
          <w:bCs/>
          <w:sz w:val="32"/>
          <w:szCs w:val="32"/>
        </w:rPr>
        <w:t>项目不设总量控制指标。</w:t>
      </w:r>
    </w:p>
    <w:p w14:paraId="4BCCF728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四、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第十三师生态环境保护综合行政执法支队组织开展该项目的环保 “三同时” 监督检查，黄田农场应急管理和生态保护办公室做好日常监督管理工作。项目发生实际排污行为前，按照《排污许可管理办法》填报排污登记表。项目竣工后开展环境保护验收工作，验收报告报执法支队备案。项目的性质、规模、地点、采用的生产工艺或者防治污染、防止生态破坏的措施发生重大变动，环评文件须报我局重新审批。自批准之日起满 5 年，项目方决定开工建设，环评文件须报我局重新审核。</w:t>
      </w:r>
    </w:p>
    <w:p w14:paraId="505FDB2D">
      <w:pPr>
        <w:pStyle w:val="11"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五、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妥善保管本批复及报告表。</w:t>
      </w:r>
    </w:p>
    <w:p w14:paraId="5A8C7012">
      <w:pPr>
        <w:pStyle w:val="11"/>
        <w:bidi w:val="0"/>
        <w:rPr>
          <w:rFonts w:hint="eastAsia"/>
          <w:lang w:val="en-US" w:eastAsia="zh-CN"/>
        </w:rPr>
      </w:pPr>
    </w:p>
    <w:p w14:paraId="75A7899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1572" w:leftChars="0" w:right="3477" w:rightChars="0" w:firstLine="0" w:firstLineChars="0"/>
        <w:jc w:val="distribute"/>
        <w:textAlignment w:val="auto"/>
        <w:rPr>
          <w:rFonts w:hint="eastAsia"/>
          <w:sz w:val="32"/>
          <w:szCs w:val="32"/>
          <w:lang w:val="en-US" w:eastAsia="zh-CN"/>
        </w:rPr>
      </w:pPr>
      <mc:AlternateContent>
        <mc:Choice Requires="wpsCustomData">
          <wpsCustomData:docfieldStart id="2" docfieldname="发文机关署名_1" hidden="0" print="1" readonly="0" index="6"/>
        </mc:Choice>
      </mc:AlternateContent>
      <w:r>
        <w:rPr>
          <w:rFonts w:hint="eastAsia"/>
          <w:sz w:val="32"/>
          <w:szCs w:val="32"/>
          <w:lang w:val="en-US" w:eastAsia="zh-CN"/>
        </w:rPr>
        <w:t xml:space="preserve">                         </w:t>
      </w:r>
      <mc:AlternateContent>
        <mc:Choice Requires="wpsCustomData">
          <wpsCustomData:docfieldEnd id="2"/>
        </mc:Choice>
      </mc:AlternateContent>
      <mc:AlternateContent>
        <mc:Choice Requires="wpsCustomData">
          <wpsCustomData:docfieldStart id="3" docfieldname="发文机关署名_2" hidden="0" print="1" readonly="0" index="45"/>
        </mc:Choice>
      </mc:AlternateContent>
    </w:p>
    <w:p w14:paraId="3D731B3C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1572" w:leftChars="0" w:right="3477" w:rightChars="0" w:firstLine="0" w:firstLineChars="0"/>
        <w:jc w:val="distribute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</w:t>
      </w:r>
    </w:p>
    <w:p w14:paraId="4C062467">
      <w:pPr>
        <w:pStyle w:val="11"/>
        <w:ind w:firstLine="3696" w:firstLineChars="1200"/>
        <w:rPr>
          <w:rFonts w:hint="eastAsia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新疆生产建设兵团第十三师</w:t>
      </w:r>
    </w:p>
    <w:p w14:paraId="11C79F60">
      <w:pPr>
        <w:pStyle w:val="11"/>
        <w:ind w:firstLine="4312" w:firstLineChars="1400"/>
        <w:rPr>
          <w:rFonts w:hint="eastAsia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 xml:space="preserve">      生态环境局</w:t>
      </w:r>
    </w:p>
    <w:p w14:paraId="61A0278D">
      <w:pPr>
        <w:pStyle w:val="11"/>
        <w:ind w:firstLine="4620" w:firstLineChars="1500"/>
        <w:rPr>
          <w:rFonts w:hint="default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2026年8月X日</w:t>
      </w:r>
      <mc:AlternateContent>
        <mc:Choice Requires="wpsCustomData">
          <wpsCustomData:docfieldEnd id="3"/>
        </mc:Choice>
      </mc:AlternateContent>
    </w:p>
    <w:sectPr>
      <w:headerReference r:id="rId3" w:type="default"/>
      <w:footerReference r:id="rId5" w:type="default"/>
      <w:headerReference r:id="rId4" w:type="even"/>
      <w:footerReference r:id="rId6" w:type="even"/>
      <w:pgSz w:w="11905" w:h="16840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C040409-EF5E-4AE9-A7B2-EDF64CF85F86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57D7C809-F456-448A-97E3-B7FCC97E550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62080DC7-E8A9-4625-BE7D-7ED57A1F676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6706D04-31F6-40FD-B2DC-937C583AD67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E1B99836-30AD-43CF-B7DD-2E82CB53C4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65AEE">
    <w:r>
      <w:rPr>
        <w:sz w:val="21"/>
      </w:rPr>
      <w:pict>
        <v:shape id="_x0000_s4097" o:spid="_x0000_s4097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16pt,0mm,16pt,0mm" style="mso-fit-shape-to-text:t;">
            <w:txbxContent>
              <w:p w14:paraId="563271DB">
                <w:pPr>
                  <w:pStyle w:val="12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1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C968D">
    <w:pPr>
      <w:pStyle w:val="12"/>
    </w:pPr>
    <w:r>
      <w:rPr>
        <w:sz w:val="18"/>
      </w:rPr>
      <w:pict>
        <v:shape id="_x0000_s4098" o:spid="_x0000_s4098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16pt,0mm,16pt,0mm" style="mso-fit-shape-to-text:t;">
            <w:txbxContent>
              <w:p w14:paraId="6360BC53">
                <w:pPr>
                  <w:pStyle w:val="12"/>
                  <w:rPr>
                    <w:rFonts w:ascii="宋体" w:hAnsi="宋体" w:eastAsia="宋体"/>
                    <w:sz w:val="28"/>
                  </w:rPr>
                </w:pPr>
                <w:r>
                  <w:rPr>
                    <w:rFonts w:ascii="宋体" w:hAnsi="宋体" w:eastAsia="宋体"/>
                    <w:sz w:val="28"/>
                  </w:rPr>
                  <w:t>—</w:t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</w:rPr>
                  <w:instrText xml:space="preserve"> PAGE  \* MERGEFORMAT </w:instrText>
                </w:r>
                <w:r>
                  <w:rPr>
                    <w:rFonts w:ascii="宋体" w:hAnsi="宋体" w:eastAsia="宋体"/>
                    <w:sz w:val="28"/>
                  </w:rPr>
                  <w:fldChar w:fldCharType="separate"/>
                </w:r>
                <w:r>
                  <w:rPr>
                    <w:rFonts w:ascii="宋体" w:hAnsi="宋体" w:eastAsia="宋体"/>
                    <w:sz w:val="28"/>
                  </w:rPr>
                  <w:t>2</w:t>
                </w:r>
                <w:r>
                  <w:rPr>
                    <w:rFonts w:ascii="宋体" w:hAnsi="宋体" w:eastAsia="宋体"/>
                    <w:sz w:val="28"/>
                  </w:rPr>
                  <w:fldChar w:fldCharType="end"/>
                </w:r>
                <w:r>
                  <w:rPr>
                    <w:rFonts w:ascii="宋体" w:hAnsi="宋体" w:eastAsia="宋体"/>
                    <w:sz w:val="24"/>
                  </w:rPr>
                  <w:t xml:space="preserve"> </w:t>
                </w:r>
                <w:r>
                  <w:rPr>
                    <w:rFonts w:ascii="宋体" w:hAnsi="宋体" w:eastAsia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95E0B">
    <w:pPr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51968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evenAndOddHeaders w:val="1"/>
  <w:drawingGridHorizontalSpacing w:val="158"/>
  <w:drawingGridVerticalSpacing w:val="290"/>
  <w:displayHorizontalDrawingGridEvery w:val="2"/>
  <w:displayVerticalDrawingGridEvery w:val="2"/>
  <w:hdrShapeDefaults>
    <o:shapelayout v:ext="edit">
      <o:idmap v:ext="edit" data="3,4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04961D84"/>
    <w:rsid w:val="5A9A3233"/>
    <w:rsid w:val="63B84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19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link w:val="20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8">
    <w:name w:val="主送对象"/>
    <w:next w:val="1"/>
    <w:qFormat/>
    <w:uiPriority w:val="0"/>
    <w:pPr>
      <w:spacing w:line="560" w:lineRule="exact"/>
    </w:pPr>
    <w:rPr>
      <w:rFonts w:asciiTheme="minorHAnsi" w:hAnsiTheme="minorHAnsi" w:eastAsiaTheme="minorEastAsia" w:cstheme="minorBidi"/>
    </w:rPr>
  </w:style>
  <w:style w:type="character" w:customStyle="1" w:styleId="19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0">
    <w:name w:val="正文文本 Char"/>
    <w:link w:val="11"/>
    <w:qFormat/>
    <w:uiPriority w:val="0"/>
    <w:rPr>
      <w:rFonts w:ascii="Times New Roman" w:hAnsi="Times New Roman" w:eastAsia="仿宋_GB2312" w:cs="仿宋_GB2312"/>
      <w:spacing w:val="-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2693</Words>
  <Characters>2862</Characters>
  <TotalTime>7</TotalTime>
  <ScaleCrop>false</ScaleCrop>
  <LinksUpToDate>false</LinksUpToDate>
  <CharactersWithSpaces>2960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2026-08-11T06:46:00Z</dcterms:created>
  <dc:creator>Apache POI</dc:creator>
  <cp:lastModifiedBy>朱嫣博</cp:lastModifiedBy>
  <dcterms:modified xsi:type="dcterms:W3CDTF">2026-08-14T10:29:24Z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{"Label":"1","ContentProducer":"001191110102MACQD9K64010000","ProduceID":"7672661929730673624","ReservedCode1":"","ContentPropagator":"","PropagateID":"","ReservedCode2":""}</vt:lpwstr>
  </property>
  <property fmtid="{D5CDD505-2E9C-101B-9397-08002B2CF9AE}" pid="3" name="KSOTemplateDocerSaveRecord">
    <vt:lpwstr>eyJoZGlkIjoiOTJlZGRjOTNmYzY0MzRkYjIwNzc3NmUyOTAxN2Y2OTIiLCJ1c2VySWQiOiIzNjY3NjMwNDgifQ==</vt:lpwstr>
  </property>
  <property fmtid="{D5CDD505-2E9C-101B-9397-08002B2CF9AE}" pid="4" name="KSOProductBuildVer">
    <vt:lpwstr>2052-12.1.0.23542</vt:lpwstr>
  </property>
  <property fmtid="{D5CDD505-2E9C-101B-9397-08002B2CF9AE}" pid="5" name="ICV">
    <vt:lpwstr>7634DB4509A0419DA19957FC7A675900_12</vt:lpwstr>
  </property>
</Properties>
</file>