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82EC76">
      <w:pPr>
        <w:keepNext w:val="0"/>
        <w:keepLines w:val="0"/>
        <w:pageBreakBefore w:val="0"/>
        <w:kinsoku/>
        <w:wordWrap/>
        <w:overflowPunct/>
        <w:topLinePunct w:val="0"/>
        <w:bidi w:val="0"/>
        <w:snapToGrid/>
        <w:spacing w:line="560" w:lineRule="exact"/>
        <w:jc w:val="center"/>
        <w:textAlignment w:val="auto"/>
        <w:rPr>
          <w:rFonts w:hint="default" w:ascii="Times New Roman" w:hAnsi="Times New Roman" w:eastAsia="方正小标宋简体" w:cs="Times New Roman"/>
          <w:b w:val="0"/>
          <w:bCs/>
          <w:sz w:val="44"/>
          <w:szCs w:val="44"/>
        </w:rPr>
      </w:pPr>
      <w:r>
        <w:rPr>
          <w:rFonts w:hint="default" w:ascii="Times New Roman" w:hAnsi="Times New Roman" w:eastAsia="方正小标宋简体" w:cs="Times New Roman"/>
          <w:b w:val="0"/>
          <w:bCs/>
          <w:sz w:val="44"/>
          <w:szCs w:val="44"/>
        </w:rPr>
        <w:t>第十三师新星市“十五五”城市住房发展规划（</w:t>
      </w:r>
      <w:r>
        <w:rPr>
          <w:rFonts w:hint="default" w:ascii="Times New Roman" w:hAnsi="Times New Roman" w:eastAsia="方正小标宋简体" w:cs="Times New Roman"/>
          <w:b w:val="0"/>
          <w:bCs/>
          <w:sz w:val="44"/>
          <w:szCs w:val="44"/>
          <w:lang w:val="en-US" w:eastAsia="zh-CN"/>
        </w:rPr>
        <w:t>征求意见稿</w:t>
      </w:r>
      <w:r>
        <w:rPr>
          <w:rFonts w:hint="default" w:ascii="Times New Roman" w:hAnsi="Times New Roman" w:eastAsia="方正小标宋简体" w:cs="Times New Roman"/>
          <w:b w:val="0"/>
          <w:bCs/>
          <w:sz w:val="44"/>
          <w:szCs w:val="44"/>
        </w:rPr>
        <w:t>）</w:t>
      </w:r>
    </w:p>
    <w:p w14:paraId="3D157942">
      <w:pPr>
        <w:keepNext w:val="0"/>
        <w:keepLines w:val="0"/>
        <w:pageBreakBefore w:val="0"/>
        <w:kinsoku/>
        <w:wordWrap/>
        <w:overflowPunct/>
        <w:topLinePunct w:val="0"/>
        <w:bidi w:val="0"/>
        <w:snapToGrid/>
        <w:spacing w:line="560" w:lineRule="exact"/>
        <w:jc w:val="center"/>
        <w:textAlignment w:val="auto"/>
        <w:rPr>
          <w:rFonts w:hint="default" w:ascii="Times New Roman" w:hAnsi="Times New Roman" w:eastAsia="方正小标宋简体" w:cs="Times New Roman"/>
          <w:b w:val="0"/>
          <w:bCs/>
          <w:sz w:val="44"/>
          <w:szCs w:val="44"/>
        </w:rPr>
      </w:pPr>
    </w:p>
    <w:p w14:paraId="6C0610FA">
      <w:pPr>
        <w:keepNext w:val="0"/>
        <w:keepLines w:val="0"/>
        <w:pageBreakBefore w:val="0"/>
        <w:kinsoku/>
        <w:wordWrap/>
        <w:overflowPunct/>
        <w:topLinePunct w:val="0"/>
        <w:bidi w:val="0"/>
        <w:snapToGrid/>
        <w:spacing w:line="560" w:lineRule="exact"/>
        <w:ind w:firstLine="640" w:firstLineChars="200"/>
        <w:jc w:val="center"/>
        <w:textAlignment w:val="auto"/>
        <w:rPr>
          <w:rFonts w:hint="default" w:ascii="Times New Roman" w:hAnsi="Times New Roman" w:eastAsia="方正仿宋简体" w:cs="Times New Roman"/>
          <w:b/>
          <w:bCs/>
          <w:sz w:val="32"/>
          <w:szCs w:val="32"/>
          <w:lang w:val="en-US" w:eastAsia="zh-CN"/>
        </w:rPr>
      </w:pPr>
      <w:bookmarkStart w:id="0" w:name="_Toc218434140"/>
      <w:bookmarkStart w:id="1" w:name="_Toc9665"/>
      <w:bookmarkStart w:id="2" w:name="_Toc27201"/>
      <w:bookmarkStart w:id="3" w:name="_Toc25008742"/>
      <w:bookmarkStart w:id="4" w:name="_Toc15427"/>
      <w:bookmarkStart w:id="5" w:name="_Toc2473"/>
      <w:bookmarkStart w:id="6" w:name="_Toc30247"/>
      <w:bookmarkStart w:id="7" w:name="_Toc11069"/>
      <w:bookmarkStart w:id="8" w:name="_Toc80626677"/>
      <w:bookmarkStart w:id="9" w:name="_Toc2704"/>
      <w:bookmarkStart w:id="10" w:name="_Toc29653"/>
      <w:bookmarkStart w:id="11" w:name="_Toc14516"/>
      <w:bookmarkStart w:id="12" w:name="_Toc7052"/>
      <w:bookmarkStart w:id="13" w:name="_Toc12561076"/>
      <w:bookmarkStart w:id="14" w:name="_Toc15973"/>
      <w:bookmarkStart w:id="15" w:name="_Toc196403164"/>
      <w:bookmarkStart w:id="16" w:name="_Toc13339"/>
      <w:bookmarkStart w:id="17" w:name="_Toc657"/>
      <w:bookmarkStart w:id="18" w:name="_Toc3258"/>
      <w:bookmarkStart w:id="19" w:name="_Toc25890"/>
      <w:bookmarkStart w:id="20" w:name="_Toc444"/>
      <w:r>
        <w:rPr>
          <w:rFonts w:hint="default" w:ascii="Times New Roman" w:hAnsi="Times New Roman" w:eastAsia="方正黑体_GBK" w:cs="Times New Roman"/>
          <w:b w:val="0"/>
          <w:bCs w:val="0"/>
          <w:sz w:val="32"/>
          <w:szCs w:val="32"/>
          <w:lang w:val="en-US" w:eastAsia="zh-CN"/>
        </w:rPr>
        <w:t>前  言</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6D08DC04">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“十五五”时期（2026—2030年）是</w:t>
      </w:r>
      <w:r>
        <w:rPr>
          <w:rFonts w:hint="default" w:ascii="Times New Roman" w:hAnsi="Times New Roman" w:eastAsia="方正仿宋简体" w:cs="Times New Roman"/>
          <w:sz w:val="32"/>
          <w:szCs w:val="32"/>
          <w:lang w:val="en-US" w:eastAsia="zh-CN" w:bidi="ar"/>
        </w:rPr>
        <w:t>基本实现社会主义现代化、夯实基础、全面发力的关键时期</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也是第十三师新星市（以下简称师市）</w:t>
      </w:r>
      <w:r>
        <w:rPr>
          <w:rFonts w:hint="default" w:ascii="Times New Roman" w:hAnsi="Times New Roman" w:eastAsia="方正仿宋简体" w:cs="Times New Roman"/>
          <w:sz w:val="32"/>
          <w:szCs w:val="32"/>
          <w:lang w:val="en-US" w:eastAsia="zh-CN"/>
        </w:rPr>
        <w:t>抢抓战略机遇，推动经济社会高质量发展，把师市建设得更繁荣的关键时期</w:t>
      </w:r>
      <w:r>
        <w:rPr>
          <w:rFonts w:hint="default" w:ascii="Times New Roman" w:hAnsi="Times New Roman" w:eastAsia="方正仿宋简体" w:cs="Times New Roman"/>
          <w:sz w:val="32"/>
          <w:szCs w:val="32"/>
        </w:rPr>
        <w:t>。</w:t>
      </w:r>
      <w:r>
        <w:rPr>
          <w:rFonts w:hint="default" w:ascii="Times New Roman" w:hAnsi="Times New Roman" w:eastAsia="方正仿宋简体" w:cs="Times New Roman"/>
          <w:sz w:val="32"/>
          <w:szCs w:val="32"/>
          <w:lang w:val="en-US" w:eastAsia="zh-CN"/>
        </w:rPr>
        <w:t>科学</w:t>
      </w:r>
      <w:r>
        <w:rPr>
          <w:rFonts w:hint="default" w:ascii="Times New Roman" w:hAnsi="Times New Roman" w:eastAsia="方正仿宋简体" w:cs="Times New Roman"/>
          <w:sz w:val="32"/>
          <w:szCs w:val="32"/>
        </w:rPr>
        <w:t>编制</w:t>
      </w:r>
      <w:r>
        <w:rPr>
          <w:rFonts w:hint="default" w:ascii="Times New Roman" w:hAnsi="Times New Roman" w:eastAsia="方正仿宋简体" w:cs="Times New Roman"/>
          <w:sz w:val="32"/>
          <w:szCs w:val="32"/>
          <w:lang w:val="en-US" w:eastAsia="zh-CN"/>
        </w:rPr>
        <w:t>并高效实施</w:t>
      </w:r>
      <w:r>
        <w:rPr>
          <w:rFonts w:hint="default" w:ascii="Times New Roman" w:hAnsi="Times New Roman" w:eastAsia="方正仿宋简体" w:cs="Times New Roman"/>
          <w:sz w:val="32"/>
          <w:szCs w:val="32"/>
        </w:rPr>
        <w:t>师市“十五五”住房发展规划，</w:t>
      </w:r>
      <w:r>
        <w:rPr>
          <w:rFonts w:hint="default" w:ascii="Times New Roman" w:hAnsi="Times New Roman" w:eastAsia="方正仿宋简体" w:cs="Times New Roman"/>
          <w:sz w:val="32"/>
          <w:szCs w:val="32"/>
          <w:lang w:val="en-US" w:eastAsia="zh-CN"/>
        </w:rPr>
        <w:t>是师市把握时代脉搏、顺应发展趋势的必然要求，更是实现自身高质量发展、加速融入国家现代化大局的战略选择，对发展</w:t>
      </w:r>
      <w:r>
        <w:rPr>
          <w:rFonts w:hint="eastAsia" w:eastAsia="方正仿宋简体" w:cs="Times New Roman"/>
          <w:sz w:val="32"/>
          <w:szCs w:val="32"/>
          <w:lang w:val="en-US" w:eastAsia="zh-CN"/>
        </w:rPr>
        <w:t>具有师</w:t>
      </w:r>
      <w:r>
        <w:rPr>
          <w:rFonts w:hint="default" w:ascii="Times New Roman" w:hAnsi="Times New Roman" w:eastAsia="方正仿宋简体" w:cs="Times New Roman"/>
          <w:sz w:val="32"/>
          <w:szCs w:val="32"/>
          <w:lang w:val="en-US" w:eastAsia="zh-CN"/>
        </w:rPr>
        <w:t>市特色的现代化产业体系和新型城镇体系具有重要支撑、保障作用</w:t>
      </w:r>
      <w:r>
        <w:rPr>
          <w:rFonts w:hint="eastAsia" w:eastAsia="方正仿宋简体" w:cs="Times New Roman"/>
          <w:sz w:val="32"/>
          <w:szCs w:val="32"/>
          <w:lang w:val="en-US" w:eastAsia="zh-CN"/>
        </w:rPr>
        <w:t>，</w:t>
      </w:r>
      <w:r>
        <w:rPr>
          <w:rFonts w:hint="default" w:ascii="Times New Roman" w:hAnsi="Times New Roman" w:eastAsia="方正仿宋简体" w:cs="Times New Roman"/>
          <w:sz w:val="32"/>
          <w:szCs w:val="32"/>
        </w:rPr>
        <w:t>对指导未来五年乃至更长时间的住房发展具有重要意义。</w:t>
      </w:r>
    </w:p>
    <w:p w14:paraId="3B97F4CB">
      <w:pPr>
        <w:keepNext w:val="0"/>
        <w:keepLines w:val="0"/>
        <w:pageBreakBefore w:val="0"/>
        <w:kinsoku/>
        <w:wordWrap/>
        <w:overflowPunct/>
        <w:topLinePunct w:val="0"/>
        <w:bidi w:val="0"/>
        <w:snapToGrid/>
        <w:spacing w:line="560" w:lineRule="exact"/>
        <w:jc w:val="center"/>
        <w:textAlignment w:val="auto"/>
        <w:rPr>
          <w:rFonts w:hint="default" w:ascii="Times New Roman" w:hAnsi="Times New Roman" w:eastAsia="方正黑体_GBK" w:cs="Times New Roman"/>
          <w:b w:val="0"/>
          <w:bCs w:val="0"/>
          <w:sz w:val="32"/>
          <w:szCs w:val="32"/>
          <w:lang w:val="en-US" w:eastAsia="zh-CN"/>
        </w:rPr>
      </w:pPr>
      <w:bookmarkStart w:id="21" w:name="_Toc22930"/>
      <w:bookmarkStart w:id="22" w:name="_Toc15874"/>
      <w:bookmarkStart w:id="23" w:name="_Toc9233"/>
      <w:bookmarkStart w:id="24" w:name="_Toc7821"/>
      <w:bookmarkStart w:id="25" w:name="_Toc23690"/>
      <w:bookmarkStart w:id="26" w:name="_Toc1485"/>
      <w:bookmarkStart w:id="27" w:name="_Toc23505"/>
      <w:bookmarkStart w:id="28" w:name="_Toc80626678"/>
      <w:bookmarkStart w:id="29" w:name="_Toc25558"/>
      <w:bookmarkStart w:id="30" w:name="_Toc218434141"/>
      <w:bookmarkStart w:id="31" w:name="_Toc10624"/>
      <w:bookmarkStart w:id="32" w:name="_Toc21321"/>
      <w:bookmarkStart w:id="33" w:name="_Toc6215"/>
      <w:bookmarkStart w:id="34" w:name="_Toc1533"/>
      <w:bookmarkStart w:id="35" w:name="_Toc17849"/>
      <w:bookmarkStart w:id="36" w:name="_Toc28147"/>
      <w:bookmarkStart w:id="37" w:name="_Toc15032"/>
      <w:bookmarkStart w:id="38" w:name="_Toc24703"/>
      <w:r>
        <w:rPr>
          <w:rFonts w:hint="default" w:ascii="Times New Roman" w:hAnsi="Times New Roman" w:eastAsia="方正黑体_GBK" w:cs="Times New Roman"/>
          <w:b w:val="0"/>
          <w:bCs w:val="0"/>
          <w:sz w:val="32"/>
          <w:szCs w:val="32"/>
          <w:lang w:val="en-US" w:eastAsia="zh-CN"/>
        </w:rPr>
        <w:t>第一章 总则</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7BFB1285">
      <w:pPr>
        <w:keepNext w:val="0"/>
        <w:keepLines w:val="0"/>
        <w:pageBreakBefore w:val="0"/>
        <w:kinsoku/>
        <w:wordWrap/>
        <w:overflowPunct/>
        <w:topLinePunct w:val="0"/>
        <w:bidi w:val="0"/>
        <w:snapToGrid/>
        <w:spacing w:line="560" w:lineRule="exact"/>
        <w:ind w:firstLine="640" w:firstLineChars="200"/>
        <w:jc w:val="left"/>
        <w:textAlignment w:val="auto"/>
        <w:rPr>
          <w:rFonts w:hint="eastAsia" w:ascii="方正黑体_GBK" w:hAnsi="方正黑体_GBK" w:eastAsia="方正黑体_GBK" w:cs="方正黑体_GBK"/>
          <w:b w:val="0"/>
          <w:bCs w:val="0"/>
          <w:sz w:val="32"/>
          <w:szCs w:val="32"/>
          <w:lang w:val="en-US" w:eastAsia="zh-CN"/>
        </w:rPr>
      </w:pPr>
      <w:bookmarkStart w:id="39" w:name="_Toc15848"/>
      <w:bookmarkStart w:id="40" w:name="_Toc20159"/>
      <w:bookmarkStart w:id="41" w:name="_Toc20456"/>
      <w:bookmarkStart w:id="42" w:name="_Toc18965"/>
      <w:bookmarkStart w:id="43" w:name="_Toc11662"/>
      <w:bookmarkStart w:id="44" w:name="_Toc7382"/>
      <w:bookmarkStart w:id="45" w:name="_Toc29221"/>
      <w:bookmarkStart w:id="46" w:name="_Toc80626679"/>
      <w:bookmarkStart w:id="47" w:name="_Toc18403"/>
      <w:bookmarkStart w:id="48" w:name="_Toc14019"/>
      <w:bookmarkStart w:id="49" w:name="_Toc15361"/>
      <w:bookmarkStart w:id="50" w:name="_Toc26131"/>
      <w:bookmarkStart w:id="51" w:name="_Toc3964"/>
      <w:bookmarkStart w:id="52" w:name="_Toc7396"/>
      <w:bookmarkStart w:id="53" w:name="_Toc24263"/>
      <w:bookmarkStart w:id="54" w:name="_Toc88"/>
      <w:bookmarkStart w:id="55" w:name="_Toc9150"/>
      <w:bookmarkStart w:id="56" w:name="_Toc218434142"/>
      <w:r>
        <w:rPr>
          <w:rFonts w:hint="eastAsia" w:ascii="方正黑体_GBK" w:hAnsi="方正黑体_GBK" w:eastAsia="方正黑体_GBK" w:cs="方正黑体_GBK"/>
          <w:b w:val="0"/>
          <w:bCs w:val="0"/>
          <w:sz w:val="32"/>
          <w:szCs w:val="32"/>
          <w:lang w:val="en-US" w:eastAsia="zh-CN"/>
        </w:rPr>
        <w:t>一、编制目的</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14:paraId="6D4F7035">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b w:val="0"/>
          <w:kern w:val="2"/>
          <w:sz w:val="32"/>
          <w:szCs w:val="32"/>
          <w:lang w:val="en-US" w:eastAsia="zh-CN" w:bidi="ar-SA"/>
        </w:rPr>
      </w:pPr>
      <w:r>
        <w:rPr>
          <w:rFonts w:hint="default" w:ascii="Times New Roman" w:hAnsi="Times New Roman" w:eastAsia="方正仿宋简体" w:cs="Times New Roman"/>
          <w:b w:val="0"/>
          <w:kern w:val="2"/>
          <w:sz w:val="32"/>
          <w:szCs w:val="32"/>
          <w:lang w:val="en-US" w:eastAsia="zh-CN" w:bidi="ar-SA"/>
        </w:rPr>
        <w:t>为全面落实国家、兵团</w:t>
      </w:r>
      <w:r>
        <w:rPr>
          <w:rFonts w:hint="eastAsia" w:eastAsia="方正仿宋简体" w:cs="Times New Roman"/>
          <w:b w:val="0"/>
          <w:kern w:val="2"/>
          <w:sz w:val="32"/>
          <w:szCs w:val="32"/>
          <w:lang w:val="en-US" w:eastAsia="zh-CN" w:bidi="ar-SA"/>
        </w:rPr>
        <w:t>关于</w:t>
      </w:r>
      <w:r>
        <w:rPr>
          <w:rFonts w:hint="default" w:ascii="Times New Roman" w:hAnsi="Times New Roman" w:eastAsia="方正仿宋简体" w:cs="Times New Roman"/>
          <w:b w:val="0"/>
          <w:kern w:val="2"/>
          <w:sz w:val="32"/>
          <w:szCs w:val="32"/>
          <w:lang w:val="en-US" w:eastAsia="zh-CN" w:bidi="ar-SA"/>
        </w:rPr>
        <w:t>各城市编制“十五五”住房发展规划</w:t>
      </w:r>
      <w:r>
        <w:rPr>
          <w:rFonts w:hint="eastAsia" w:eastAsia="方正仿宋简体" w:cs="Times New Roman"/>
          <w:b w:val="0"/>
          <w:kern w:val="2"/>
          <w:sz w:val="32"/>
          <w:szCs w:val="32"/>
          <w:lang w:val="en-US" w:eastAsia="zh-CN" w:bidi="ar-SA"/>
        </w:rPr>
        <w:t>的有关</w:t>
      </w:r>
      <w:r>
        <w:rPr>
          <w:rFonts w:hint="default" w:ascii="Times New Roman" w:hAnsi="Times New Roman" w:eastAsia="方正仿宋简体" w:cs="Times New Roman"/>
          <w:b w:val="0"/>
          <w:kern w:val="2"/>
          <w:sz w:val="32"/>
          <w:szCs w:val="32"/>
          <w:lang w:val="en-US" w:eastAsia="zh-CN" w:bidi="ar-SA"/>
        </w:rPr>
        <w:t>工作部署，适应师市人口结构与住房需求</w:t>
      </w:r>
      <w:r>
        <w:rPr>
          <w:rFonts w:hint="eastAsia" w:eastAsia="方正仿宋简体" w:cs="Times New Roman"/>
          <w:b w:val="0"/>
          <w:kern w:val="2"/>
          <w:sz w:val="32"/>
          <w:szCs w:val="32"/>
          <w:lang w:val="en-US" w:eastAsia="zh-CN" w:bidi="ar-SA"/>
        </w:rPr>
        <w:t>结构</w:t>
      </w:r>
      <w:r>
        <w:rPr>
          <w:rFonts w:hint="default" w:ascii="Times New Roman" w:hAnsi="Times New Roman" w:eastAsia="方正仿宋简体" w:cs="Times New Roman"/>
          <w:b w:val="0"/>
          <w:kern w:val="2"/>
          <w:sz w:val="32"/>
          <w:szCs w:val="32"/>
          <w:lang w:val="en-US" w:eastAsia="zh-CN" w:bidi="ar-SA"/>
        </w:rPr>
        <w:t>快速变化的新时期，促进住房市场平稳健康发展，优化城市住房供需匹配，稳定市场预期，加快建立</w:t>
      </w:r>
      <w:r>
        <w:rPr>
          <w:rFonts w:hint="eastAsia" w:eastAsia="方正仿宋简体" w:cs="Times New Roman"/>
          <w:b w:val="0"/>
          <w:kern w:val="2"/>
          <w:sz w:val="32"/>
          <w:szCs w:val="32"/>
          <w:lang w:val="en-US" w:eastAsia="zh-CN" w:bidi="ar-SA"/>
        </w:rPr>
        <w:t>“人房地钱”要素联动机制</w:t>
      </w:r>
      <w:r>
        <w:rPr>
          <w:rFonts w:hint="default" w:ascii="Times New Roman" w:hAnsi="Times New Roman" w:eastAsia="方正仿宋简体" w:cs="Times New Roman"/>
          <w:b w:val="0"/>
          <w:kern w:val="2"/>
          <w:sz w:val="32"/>
          <w:szCs w:val="32"/>
          <w:lang w:val="en-US" w:eastAsia="zh-CN" w:bidi="ar-SA"/>
        </w:rPr>
        <w:t>，构建住房发展新模式，推动住房市场高质量发展。</w:t>
      </w:r>
    </w:p>
    <w:p w14:paraId="1EC0B7F6">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57" w:name="_Toc21509"/>
      <w:bookmarkStart w:id="58" w:name="_Toc22568"/>
      <w:bookmarkStart w:id="59" w:name="_Toc14244"/>
      <w:bookmarkStart w:id="60" w:name="_Toc16743"/>
      <w:bookmarkStart w:id="61" w:name="_Toc22959"/>
      <w:bookmarkStart w:id="62" w:name="_Toc26349"/>
      <w:bookmarkStart w:id="63" w:name="_Toc20620"/>
      <w:bookmarkStart w:id="64" w:name="_Toc26058"/>
      <w:bookmarkStart w:id="65" w:name="_Toc17494"/>
      <w:bookmarkStart w:id="66" w:name="_Toc28258"/>
      <w:bookmarkStart w:id="67" w:name="_Toc25941"/>
      <w:bookmarkStart w:id="68" w:name="_Toc11938"/>
      <w:bookmarkStart w:id="69" w:name="_Toc22275"/>
      <w:bookmarkStart w:id="70" w:name="_Toc8559"/>
      <w:bookmarkStart w:id="71" w:name="_Toc32458"/>
      <w:bookmarkStart w:id="72" w:name="_Toc80626680"/>
      <w:bookmarkStart w:id="73" w:name="_Toc8794"/>
      <w:bookmarkStart w:id="74" w:name="_Toc218434143"/>
      <w:r>
        <w:rPr>
          <w:rFonts w:hint="default" w:ascii="方正黑体_GBK" w:hAnsi="方正黑体_GBK" w:eastAsia="方正黑体_GBK" w:cs="方正黑体_GBK"/>
          <w:b w:val="0"/>
          <w:bCs w:val="0"/>
          <w:sz w:val="32"/>
          <w:szCs w:val="32"/>
          <w:lang w:val="en-US" w:eastAsia="zh-CN"/>
        </w:rPr>
        <w:t>二、编制依据</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14:paraId="0475EFF6">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b w:val="0"/>
          <w:kern w:val="2"/>
          <w:sz w:val="32"/>
          <w:szCs w:val="32"/>
          <w:lang w:val="en-US" w:eastAsia="zh-CN" w:bidi="ar-SA"/>
        </w:rPr>
        <w:t>《中华人民共和国民法典》（2020年5月28日）《中华人民共和国城市房地产管理法》（2019年修正</w:t>
      </w:r>
      <w:r>
        <w:rPr>
          <w:rFonts w:hint="eastAsia" w:eastAsia="方正仿宋简体" w:cs="Times New Roman"/>
          <w:b w:val="0"/>
          <w:kern w:val="2"/>
          <w:sz w:val="32"/>
          <w:szCs w:val="32"/>
          <w:lang w:val="en-US" w:eastAsia="zh-CN" w:bidi="ar-SA"/>
        </w:rPr>
        <w:t>）和</w:t>
      </w:r>
      <w:r>
        <w:rPr>
          <w:rFonts w:hint="default" w:ascii="Times New Roman" w:hAnsi="Times New Roman" w:eastAsia="方正仿宋简体" w:cs="Times New Roman"/>
          <w:sz w:val="32"/>
          <w:szCs w:val="32"/>
        </w:rPr>
        <w:t>《中华人民共和国城乡规划法》（2019年修正）</w:t>
      </w:r>
      <w:r>
        <w:rPr>
          <w:rFonts w:hint="default" w:ascii="Times New Roman" w:hAnsi="Times New Roman" w:eastAsia="方正仿宋简体" w:cs="Times New Roman"/>
          <w:sz w:val="32"/>
          <w:szCs w:val="32"/>
          <w:lang w:val="en-US" w:eastAsia="zh-CN"/>
        </w:rPr>
        <w:t>等法规</w:t>
      </w:r>
      <w:r>
        <w:rPr>
          <w:rFonts w:hint="default" w:ascii="Times New Roman" w:hAnsi="Times New Roman" w:eastAsia="方正仿宋简体" w:cs="Times New Roman"/>
          <w:sz w:val="32"/>
          <w:szCs w:val="32"/>
          <w:lang w:eastAsia="zh-CN"/>
        </w:rPr>
        <w:t>。</w:t>
      </w:r>
    </w:p>
    <w:p w14:paraId="4BD320A3">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《新疆生产建设兵团国土空间规划（2021</w:t>
      </w:r>
      <w:r>
        <w:rPr>
          <w:rFonts w:hint="default" w:ascii="Times New Roman" w:hAnsi="Times New Roman" w:eastAsia="方正仿宋简体" w:cs="Times New Roman"/>
          <w:sz w:val="32"/>
          <w:szCs w:val="32"/>
          <w:highlight w:val="none"/>
          <w:lang w:eastAsia="zh-CN"/>
        </w:rPr>
        <w:t>—</w:t>
      </w:r>
      <w:r>
        <w:rPr>
          <w:rFonts w:hint="default" w:ascii="Times New Roman" w:hAnsi="Times New Roman" w:eastAsia="方正仿宋简体" w:cs="Times New Roman"/>
          <w:sz w:val="32"/>
          <w:szCs w:val="32"/>
        </w:rPr>
        <w:t>2035年）》《</w:t>
      </w:r>
      <w:r>
        <w:rPr>
          <w:rFonts w:hint="default" w:ascii="Times New Roman" w:hAnsi="Times New Roman" w:eastAsia="方正仿宋简体" w:cs="Times New Roman"/>
          <w:sz w:val="32"/>
          <w:szCs w:val="32"/>
          <w:lang w:val="en-US" w:eastAsia="zh-CN"/>
        </w:rPr>
        <w:t>新疆生产建设兵团第十三师新星市国民经济和社会发展第十五个五年规划纲要</w:t>
      </w:r>
      <w:r>
        <w:rPr>
          <w:rFonts w:hint="default" w:ascii="Times New Roman" w:hAnsi="Times New Roman" w:eastAsia="方正仿宋简体" w:cs="Times New Roman"/>
          <w:sz w:val="32"/>
          <w:szCs w:val="32"/>
        </w:rPr>
        <w:t>》《第十三师国土空间总体规划（2021—2035年）》</w:t>
      </w:r>
      <w:r>
        <w:rPr>
          <w:rFonts w:hint="default" w:ascii="Times New Roman" w:hAnsi="Times New Roman" w:eastAsia="方正仿宋简体" w:cs="Times New Roman"/>
          <w:sz w:val="32"/>
          <w:szCs w:val="32"/>
          <w:lang w:val="en-US" w:eastAsia="zh-CN"/>
        </w:rPr>
        <w:t>等规划。</w:t>
      </w:r>
    </w:p>
    <w:p w14:paraId="1F26FB23">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lang w:val="en-US" w:eastAsia="zh-CN"/>
        </w:rPr>
        <w:t>住房城乡建设部办公厅关于印发城市住房发展规划和年度计划编制导则（试行）的通知》（</w:t>
      </w:r>
      <w:r>
        <w:rPr>
          <w:rFonts w:hint="default" w:ascii="Times New Roman" w:hAnsi="Times New Roman" w:eastAsia="方正仿宋简体" w:cs="Times New Roman"/>
          <w:sz w:val="32"/>
          <w:szCs w:val="32"/>
        </w:rPr>
        <w:t>建办房〔2025〕11号</w:t>
      </w:r>
      <w:r>
        <w:rPr>
          <w:rFonts w:hint="eastAsia" w:eastAsia="方正仿宋简体" w:cs="Times New Roman"/>
          <w:sz w:val="32"/>
          <w:szCs w:val="32"/>
          <w:lang w:eastAsia="zh-CN"/>
        </w:rPr>
        <w:t>）和</w:t>
      </w:r>
      <w:r>
        <w:rPr>
          <w:rFonts w:hint="default" w:ascii="Times New Roman" w:hAnsi="Times New Roman" w:eastAsia="方正仿宋简体" w:cs="Times New Roman"/>
          <w:sz w:val="32"/>
          <w:szCs w:val="32"/>
        </w:rPr>
        <w:t>《住</w:t>
      </w:r>
      <w:r>
        <w:rPr>
          <w:rFonts w:hint="default" w:ascii="Times New Roman" w:hAnsi="Times New Roman" w:eastAsia="方正仿宋简体" w:cs="Times New Roman"/>
          <w:sz w:val="32"/>
          <w:szCs w:val="32"/>
          <w:highlight w:val="none"/>
          <w:lang w:eastAsia="zh-CN"/>
        </w:rPr>
        <w:t>房和</w:t>
      </w:r>
      <w:r>
        <w:rPr>
          <w:rFonts w:hint="default" w:ascii="Times New Roman" w:hAnsi="Times New Roman" w:eastAsia="方正仿宋简体" w:cs="Times New Roman"/>
          <w:sz w:val="32"/>
          <w:szCs w:val="32"/>
        </w:rPr>
        <w:t>城乡建设部关于提升住房品质的意见》</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建标〔2025〕66号</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lang w:val="en-US" w:eastAsia="zh-CN"/>
        </w:rPr>
        <w:t>等政策文件。</w:t>
      </w:r>
    </w:p>
    <w:p w14:paraId="708CC8A9">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其他相关法律法规与标准规范。</w:t>
      </w:r>
      <w:bookmarkStart w:id="75" w:name="_Toc80626681"/>
      <w:bookmarkStart w:id="76" w:name="_Toc26892"/>
      <w:bookmarkStart w:id="77" w:name="_Toc29004"/>
      <w:bookmarkStart w:id="78" w:name="_Toc10829"/>
      <w:bookmarkStart w:id="79" w:name="_Toc218434144"/>
      <w:bookmarkStart w:id="80" w:name="_Toc3540"/>
      <w:bookmarkStart w:id="81" w:name="_Toc20950"/>
      <w:bookmarkStart w:id="82" w:name="_Toc12957"/>
      <w:bookmarkStart w:id="83" w:name="_Toc20370"/>
      <w:bookmarkStart w:id="84" w:name="_Toc8694"/>
    </w:p>
    <w:p w14:paraId="113E0FF5">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85" w:name="_Toc28595"/>
      <w:bookmarkStart w:id="86" w:name="_Toc1243"/>
      <w:bookmarkStart w:id="87" w:name="_Toc29636"/>
      <w:bookmarkStart w:id="88" w:name="_Toc6445"/>
      <w:bookmarkStart w:id="89" w:name="_Toc7072"/>
      <w:bookmarkStart w:id="90" w:name="_Toc15222"/>
      <w:bookmarkStart w:id="91" w:name="_Toc3575"/>
      <w:bookmarkStart w:id="92" w:name="_Toc27536"/>
      <w:r>
        <w:rPr>
          <w:rFonts w:hint="default" w:ascii="方正黑体_GBK" w:hAnsi="方正黑体_GBK" w:eastAsia="方正黑体_GBK" w:cs="方正黑体_GBK"/>
          <w:b w:val="0"/>
          <w:bCs w:val="0"/>
          <w:sz w:val="32"/>
          <w:szCs w:val="32"/>
          <w:lang w:val="en-US" w:eastAsia="zh-CN"/>
        </w:rPr>
        <w:t>三、规划范围及期限</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0DBC30EE">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b w:val="0"/>
          <w:color w:val="000000" w:themeColor="text1"/>
          <w:kern w:val="2"/>
          <w:sz w:val="32"/>
          <w:szCs w:val="32"/>
          <w:lang w:val="en-US" w:eastAsia="zh-CN" w:bidi="ar-SA"/>
          <w14:textFill>
            <w14:solidFill>
              <w14:schemeClr w14:val="tx1"/>
            </w14:solidFill>
          </w14:textFill>
        </w:rPr>
        <w:t>规划范围：第十三师新星市、大营房城区</w:t>
      </w:r>
      <w:r>
        <w:rPr>
          <w:rFonts w:hint="default" w:ascii="Times New Roman" w:hAnsi="Times New Roman" w:eastAsia="方正仿宋简体" w:cs="Times New Roman"/>
          <w:sz w:val="32"/>
          <w:szCs w:val="32"/>
        </w:rPr>
        <w:t>、</w:t>
      </w:r>
      <w:r>
        <w:rPr>
          <w:rFonts w:hint="default" w:ascii="Times New Roman" w:hAnsi="Times New Roman" w:eastAsia="方正仿宋简体" w:cs="Times New Roman"/>
          <w:color w:val="000000" w:themeColor="text1"/>
          <w:sz w:val="32"/>
          <w:szCs w:val="32"/>
          <w14:textFill>
            <w14:solidFill>
              <w14:schemeClr w14:val="tx1"/>
            </w14:solidFill>
          </w14:textFill>
        </w:rPr>
        <w:t>红星一场二道湖镇、火箭农场、红星二场、红星四场骆驿镇、柳树泉农场、红山农场、淖毛湖农场</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含大石头城片区</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w:t>
      </w:r>
      <w:r>
        <w:rPr>
          <w:rFonts w:hint="default" w:ascii="Times New Roman" w:hAnsi="Times New Roman" w:eastAsia="方正仿宋简体" w:cs="Times New Roman"/>
          <w:sz w:val="32"/>
          <w:szCs w:val="32"/>
        </w:rPr>
        <w:t>规划期限为5年，与国民经济和社会发展规划的规划期限相一致。</w:t>
      </w:r>
    </w:p>
    <w:p w14:paraId="35BEEA15">
      <w:pPr>
        <w:keepNext w:val="0"/>
        <w:keepLines w:val="0"/>
        <w:pageBreakBefore w:val="0"/>
        <w:kinsoku/>
        <w:wordWrap/>
        <w:overflowPunct/>
        <w:topLinePunct w:val="0"/>
        <w:bidi w:val="0"/>
        <w:snapToGrid/>
        <w:spacing w:line="560" w:lineRule="exact"/>
        <w:jc w:val="center"/>
        <w:textAlignment w:val="auto"/>
        <w:rPr>
          <w:rFonts w:hint="default" w:ascii="Times New Roman" w:hAnsi="Times New Roman" w:eastAsia="方正黑体_GBK" w:cs="Times New Roman"/>
          <w:b w:val="0"/>
          <w:bCs w:val="0"/>
          <w:sz w:val="32"/>
          <w:szCs w:val="32"/>
          <w:lang w:val="en-US" w:eastAsia="zh-CN"/>
        </w:rPr>
      </w:pPr>
      <w:bookmarkStart w:id="93" w:name="_Hlk196143008"/>
      <w:bookmarkStart w:id="94" w:name="_Toc32405"/>
      <w:bookmarkStart w:id="95" w:name="_Toc196403165"/>
      <w:bookmarkStart w:id="96" w:name="_Toc27733"/>
      <w:bookmarkStart w:id="97" w:name="_Toc11664"/>
      <w:bookmarkStart w:id="98" w:name="_Toc15439"/>
      <w:bookmarkStart w:id="99" w:name="_Toc6418"/>
      <w:bookmarkStart w:id="100" w:name="_Toc218434145"/>
      <w:bookmarkStart w:id="101" w:name="_Toc31974"/>
      <w:bookmarkStart w:id="102" w:name="_Toc22269"/>
      <w:bookmarkStart w:id="103" w:name="_Toc185"/>
      <w:bookmarkStart w:id="104" w:name="_Toc21540"/>
      <w:bookmarkStart w:id="105" w:name="_Toc14336"/>
      <w:bookmarkStart w:id="106" w:name="_Toc30077"/>
      <w:bookmarkStart w:id="107" w:name="_Toc29250"/>
      <w:bookmarkStart w:id="108" w:name="_Toc29255"/>
      <w:bookmarkStart w:id="109" w:name="_Toc10169"/>
      <w:bookmarkStart w:id="110" w:name="_Toc11171"/>
      <w:bookmarkStart w:id="111" w:name="_Toc13626"/>
      <w:r>
        <w:rPr>
          <w:rFonts w:hint="default" w:ascii="Times New Roman" w:hAnsi="Times New Roman" w:eastAsia="方正黑体_GBK" w:cs="Times New Roman"/>
          <w:b w:val="0"/>
          <w:bCs w:val="0"/>
          <w:sz w:val="32"/>
          <w:szCs w:val="32"/>
          <w:lang w:val="en-US" w:eastAsia="zh-CN"/>
        </w:rPr>
        <w:t>第二章 发展基础</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1F5AD4C3">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112" w:name="_Toc4899"/>
      <w:bookmarkStart w:id="113" w:name="_Toc15907"/>
      <w:bookmarkStart w:id="114" w:name="_Toc23182"/>
      <w:bookmarkStart w:id="115" w:name="_Toc6694"/>
      <w:bookmarkStart w:id="116" w:name="_Toc27330"/>
      <w:bookmarkStart w:id="117" w:name="_Toc218434146"/>
      <w:bookmarkStart w:id="118" w:name="_Toc27840"/>
      <w:bookmarkStart w:id="119" w:name="_Toc29645"/>
      <w:bookmarkStart w:id="120" w:name="_Toc10521"/>
      <w:bookmarkStart w:id="121" w:name="_Toc160"/>
      <w:bookmarkStart w:id="122" w:name="_Toc16137"/>
      <w:bookmarkStart w:id="123" w:name="_Toc23105"/>
      <w:bookmarkStart w:id="124" w:name="_Toc7812"/>
      <w:bookmarkStart w:id="125" w:name="_Toc25946"/>
      <w:bookmarkStart w:id="126" w:name="_Toc2781"/>
      <w:bookmarkStart w:id="127" w:name="_Toc12822"/>
      <w:bookmarkStart w:id="128" w:name="_Toc26618"/>
      <w:r>
        <w:rPr>
          <w:rFonts w:hint="default" w:ascii="方正黑体_GBK" w:hAnsi="方正黑体_GBK" w:eastAsia="方正黑体_GBK" w:cs="方正黑体_GBK"/>
          <w:b w:val="0"/>
          <w:bCs w:val="0"/>
          <w:sz w:val="32"/>
          <w:szCs w:val="32"/>
          <w:lang w:val="en-US" w:eastAsia="zh-CN"/>
        </w:rPr>
        <w:t>一、发展现状</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hint="default" w:ascii="方正黑体_GBK" w:hAnsi="方正黑体_GBK" w:eastAsia="方正黑体_GBK" w:cs="方正黑体_GBK"/>
          <w:b w:val="0"/>
          <w:bCs w:val="0"/>
          <w:sz w:val="32"/>
          <w:szCs w:val="32"/>
          <w:lang w:val="en-US" w:eastAsia="zh-CN"/>
        </w:rPr>
        <w:tab/>
      </w:r>
    </w:p>
    <w:p w14:paraId="6467D183">
      <w:pPr>
        <w:keepNext w:val="0"/>
        <w:keepLines w:val="0"/>
        <w:pageBreakBefore w:val="0"/>
        <w:kinsoku/>
        <w:wordWrap/>
        <w:overflowPunct/>
        <w:topLinePunct w:val="0"/>
        <w:bidi w:val="0"/>
        <w:snapToGrid/>
        <w:spacing w:line="560" w:lineRule="exact"/>
        <w:ind w:firstLine="640" w:firstLineChars="200"/>
        <w:jc w:val="left"/>
        <w:textAlignment w:val="auto"/>
        <w:rPr>
          <w:rFonts w:hint="eastAsia" w:ascii="方正楷体简体" w:hAnsi="方正楷体简体" w:eastAsia="方正楷体简体" w:cs="方正楷体简体"/>
          <w:b w:val="0"/>
          <w:bCs/>
          <w:sz w:val="32"/>
          <w:szCs w:val="32"/>
          <w:lang w:val="en-US" w:eastAsia="zh-CN"/>
        </w:rPr>
      </w:pPr>
      <w:r>
        <w:rPr>
          <w:rFonts w:hint="eastAsia" w:ascii="方正楷体简体" w:hAnsi="方正楷体简体" w:eastAsia="方正楷体简体" w:cs="方正楷体简体"/>
          <w:b w:val="0"/>
          <w:bCs/>
          <w:sz w:val="32"/>
          <w:szCs w:val="32"/>
          <w:lang w:eastAsia="zh-CN"/>
        </w:rPr>
        <w:t>（</w:t>
      </w:r>
      <w:r>
        <w:rPr>
          <w:rFonts w:hint="eastAsia" w:ascii="方正楷体简体" w:hAnsi="方正楷体简体" w:eastAsia="方正楷体简体" w:cs="方正楷体简体"/>
          <w:b w:val="0"/>
          <w:bCs/>
          <w:sz w:val="32"/>
          <w:szCs w:val="32"/>
          <w:lang w:val="en-US" w:eastAsia="zh-CN"/>
        </w:rPr>
        <w:t>一</w:t>
      </w:r>
      <w:r>
        <w:rPr>
          <w:rFonts w:hint="eastAsia" w:ascii="方正楷体简体" w:hAnsi="方正楷体简体" w:eastAsia="方正楷体简体" w:cs="方正楷体简体"/>
          <w:b w:val="0"/>
          <w:bCs/>
          <w:sz w:val="32"/>
          <w:szCs w:val="32"/>
          <w:lang w:eastAsia="zh-CN"/>
        </w:rPr>
        <w:t>）</w:t>
      </w:r>
      <w:r>
        <w:rPr>
          <w:rFonts w:hint="eastAsia" w:ascii="方正楷体简体" w:hAnsi="方正楷体简体" w:eastAsia="方正楷体简体" w:cs="方正楷体简体"/>
          <w:b w:val="0"/>
          <w:bCs/>
          <w:sz w:val="32"/>
          <w:szCs w:val="32"/>
        </w:rPr>
        <w:t>经济发展量质齐升，人口稳定</w:t>
      </w:r>
      <w:r>
        <w:rPr>
          <w:rFonts w:hint="eastAsia" w:ascii="方正楷体简体" w:hAnsi="方正楷体简体" w:eastAsia="方正楷体简体" w:cs="方正楷体简体"/>
          <w:b w:val="0"/>
          <w:bCs/>
          <w:sz w:val="32"/>
          <w:szCs w:val="32"/>
          <w:lang w:val="en-US" w:eastAsia="zh-CN"/>
        </w:rPr>
        <w:t>增长</w:t>
      </w:r>
    </w:p>
    <w:p w14:paraId="2A6113DE">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rPr>
        <w:t>“十四五”时期，师市生产总值</w:t>
      </w:r>
      <w:r>
        <w:rPr>
          <w:rFonts w:hint="default" w:ascii="Times New Roman" w:hAnsi="Times New Roman" w:eastAsia="方正仿宋简体" w:cs="Times New Roman"/>
          <w:sz w:val="32"/>
          <w:szCs w:val="32"/>
          <w:lang w:val="en-US" w:eastAsia="zh-CN"/>
        </w:rPr>
        <w:t>稳步增长</w:t>
      </w:r>
      <w:r>
        <w:rPr>
          <w:rFonts w:hint="default" w:ascii="Times New Roman" w:hAnsi="Times New Roman" w:eastAsia="方正仿宋简体" w:cs="Times New Roman"/>
          <w:sz w:val="32"/>
          <w:szCs w:val="32"/>
        </w:rPr>
        <w:t>，主要经济指标增速连续多年稳居兵团前列</w:t>
      </w:r>
      <w:r>
        <w:rPr>
          <w:rFonts w:hint="default" w:ascii="Times New Roman" w:hAnsi="Times New Roman" w:eastAsia="方正仿宋简体" w:cs="Times New Roman"/>
          <w:sz w:val="32"/>
          <w:szCs w:val="32"/>
          <w:lang w:eastAsia="zh-CN"/>
        </w:rPr>
        <w:t>，绿色化工，新型冶金，综合能源产业集群初具规模；“十四五”时期</w:t>
      </w:r>
      <w:r>
        <w:rPr>
          <w:rFonts w:hint="default" w:ascii="Times New Roman" w:hAnsi="Times New Roman" w:eastAsia="方正仿宋简体" w:cs="Times New Roman"/>
          <w:sz w:val="32"/>
          <w:szCs w:val="32"/>
        </w:rPr>
        <w:t>，师市完善并出台</w:t>
      </w:r>
      <w:r>
        <w:rPr>
          <w:rFonts w:hint="default" w:ascii="Times New Roman" w:hAnsi="Times New Roman" w:eastAsia="方正仿宋简体" w:cs="Times New Roman"/>
          <w:sz w:val="32"/>
          <w:szCs w:val="32"/>
          <w:lang w:val="en-US" w:eastAsia="zh-CN"/>
        </w:rPr>
        <w:t>人口聚集</w:t>
      </w:r>
      <w:r>
        <w:rPr>
          <w:rFonts w:hint="default" w:ascii="Times New Roman" w:hAnsi="Times New Roman" w:eastAsia="方正仿宋简体" w:cs="Times New Roman"/>
          <w:sz w:val="32"/>
          <w:szCs w:val="32"/>
        </w:rPr>
        <w:t>政策，加大政策力度，优化人才结构，</w:t>
      </w:r>
      <w:r>
        <w:rPr>
          <w:rFonts w:hint="default" w:ascii="Times New Roman" w:hAnsi="Times New Roman" w:eastAsia="方正仿宋简体" w:cs="Times New Roman"/>
          <w:sz w:val="32"/>
          <w:szCs w:val="32"/>
          <w:lang w:val="en-US" w:eastAsia="zh-CN"/>
        </w:rPr>
        <w:t>人口数量连续五年持续增长。</w:t>
      </w:r>
    </w:p>
    <w:p w14:paraId="2C4A1DF3">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eastAsia" w:ascii="方正楷体简体" w:hAnsi="方正楷体简体" w:eastAsia="方正楷体简体" w:cs="方正楷体简体"/>
          <w:b w:val="0"/>
          <w:bCs/>
          <w:sz w:val="32"/>
          <w:szCs w:val="32"/>
          <w:lang w:eastAsia="zh-CN"/>
        </w:rPr>
        <w:t>（</w:t>
      </w:r>
      <w:r>
        <w:rPr>
          <w:rFonts w:hint="eastAsia" w:ascii="方正楷体简体" w:hAnsi="方正楷体简体" w:eastAsia="方正楷体简体" w:cs="方正楷体简体"/>
          <w:b w:val="0"/>
          <w:bCs/>
          <w:sz w:val="32"/>
          <w:szCs w:val="32"/>
          <w:lang w:val="en-US" w:eastAsia="zh-CN"/>
        </w:rPr>
        <w:t>二</w:t>
      </w:r>
      <w:r>
        <w:rPr>
          <w:rFonts w:hint="eastAsia"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eastAsia="zh-CN"/>
        </w:rPr>
        <w:t>城</w:t>
      </w:r>
      <w:r>
        <w:rPr>
          <w:rFonts w:hint="default" w:ascii="方正楷体简体" w:hAnsi="方正楷体简体" w:eastAsia="方正楷体简体" w:cs="方正楷体简体"/>
          <w:b w:val="0"/>
          <w:bCs/>
          <w:sz w:val="32"/>
          <w:szCs w:val="32"/>
          <w:lang w:val="en-US" w:eastAsia="zh-CN"/>
        </w:rPr>
        <w:t>市功能逐步完善</w:t>
      </w:r>
      <w:r>
        <w:rPr>
          <w:rFonts w:hint="default" w:ascii="方正楷体简体" w:hAnsi="方正楷体简体" w:eastAsia="方正楷体简体" w:cs="方正楷体简体"/>
          <w:b w:val="0"/>
          <w:bCs/>
          <w:sz w:val="32"/>
          <w:szCs w:val="32"/>
          <w:lang w:eastAsia="zh-CN"/>
        </w:rPr>
        <w:t>，存量提质成就显著</w:t>
      </w:r>
      <w:bookmarkStart w:id="129" w:name="OLE_LINK8"/>
    </w:p>
    <w:p w14:paraId="7D676290">
      <w:pPr>
        <w:keepNext w:val="0"/>
        <w:keepLines w:val="0"/>
        <w:pageBreakBefore w:val="0"/>
        <w:numPr>
          <w:ilvl w:val="0"/>
          <w:numId w:val="0"/>
        </w:numPr>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eastAsia="zh-CN"/>
        </w:rPr>
        <w:t>“十四五”时期</w:t>
      </w:r>
      <w:r>
        <w:rPr>
          <w:rFonts w:hint="default" w:ascii="Times New Roman" w:hAnsi="Times New Roman" w:eastAsia="方正仿宋简体" w:cs="Times New Roman"/>
          <w:sz w:val="32"/>
          <w:szCs w:val="32"/>
        </w:rPr>
        <w:t>，</w:t>
      </w:r>
      <w:bookmarkEnd w:id="129"/>
      <w:r>
        <w:rPr>
          <w:rFonts w:hint="default" w:ascii="Times New Roman" w:hAnsi="Times New Roman" w:eastAsia="方正仿宋简体" w:cs="Times New Roman"/>
          <w:sz w:val="32"/>
          <w:szCs w:val="32"/>
        </w:rPr>
        <w:t>师市聚焦城市定位，优化交通路网，提升人居生态环境</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推进老旧小区更新改造</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完善公共服务设施</w:t>
      </w:r>
      <w:r>
        <w:rPr>
          <w:rFonts w:hint="default" w:ascii="Times New Roman" w:hAnsi="Times New Roman" w:eastAsia="方正仿宋简体" w:cs="Times New Roman"/>
          <w:sz w:val="32"/>
          <w:szCs w:val="32"/>
          <w:lang w:eastAsia="zh-CN"/>
        </w:rPr>
        <w:t>。</w:t>
      </w:r>
    </w:p>
    <w:p w14:paraId="10A72FAE">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eastAsia" w:ascii="方正楷体简体" w:hAnsi="方正楷体简体" w:eastAsia="方正楷体简体" w:cs="方正楷体简体"/>
          <w:b w:val="0"/>
          <w:bCs/>
          <w:sz w:val="32"/>
          <w:szCs w:val="32"/>
          <w:lang w:eastAsia="zh-CN"/>
        </w:rPr>
        <w:t>（</w:t>
      </w:r>
      <w:r>
        <w:rPr>
          <w:rFonts w:hint="eastAsia" w:ascii="方正楷体简体" w:hAnsi="方正楷体简体" w:eastAsia="方正楷体简体" w:cs="方正楷体简体"/>
          <w:b w:val="0"/>
          <w:bCs/>
          <w:sz w:val="32"/>
          <w:szCs w:val="32"/>
          <w:lang w:val="en-US" w:eastAsia="zh-CN"/>
        </w:rPr>
        <w:t>三</w:t>
      </w:r>
      <w:r>
        <w:rPr>
          <w:rFonts w:hint="eastAsia"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eastAsia="zh-CN"/>
        </w:rPr>
        <w:t>供地节奏减缓，住房供需逐步实现平衡</w:t>
      </w:r>
    </w:p>
    <w:p w14:paraId="394F8BD1">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lang w:val="en-US" w:eastAsia="zh-CN"/>
        </w:rPr>
        <w:t>“十四五”时期</w:t>
      </w:r>
      <w:r>
        <w:rPr>
          <w:rFonts w:hint="default" w:ascii="Times New Roman" w:hAnsi="Times New Roman" w:eastAsia="方正仿宋简体" w:cs="Times New Roman"/>
          <w:sz w:val="32"/>
          <w:szCs w:val="32"/>
        </w:rPr>
        <w:t>，师市房地产开发投资</w:t>
      </w:r>
      <w:r>
        <w:rPr>
          <w:rFonts w:hint="default" w:ascii="Times New Roman" w:hAnsi="Times New Roman" w:eastAsia="方正仿宋简体" w:cs="Times New Roman"/>
          <w:sz w:val="32"/>
          <w:szCs w:val="32"/>
          <w:lang w:val="en-US" w:eastAsia="zh-CN"/>
        </w:rPr>
        <w:t>逐年增加</w:t>
      </w:r>
      <w:r>
        <w:rPr>
          <w:rFonts w:hint="default" w:ascii="Times New Roman" w:hAnsi="Times New Roman" w:eastAsia="方正仿宋简体" w:cs="Times New Roman"/>
          <w:sz w:val="32"/>
          <w:szCs w:val="32"/>
        </w:rPr>
        <w:t>，住宅供地数量与供地面积</w:t>
      </w:r>
      <w:r>
        <w:rPr>
          <w:rFonts w:hint="default" w:ascii="Times New Roman" w:hAnsi="Times New Roman" w:eastAsia="方正仿宋简体" w:cs="Times New Roman"/>
          <w:sz w:val="32"/>
          <w:szCs w:val="32"/>
          <w:lang w:val="en-US" w:eastAsia="zh-CN"/>
        </w:rPr>
        <w:t>逐年</w:t>
      </w:r>
      <w:r>
        <w:rPr>
          <w:rFonts w:hint="default" w:ascii="Times New Roman" w:hAnsi="Times New Roman" w:eastAsia="方正仿宋简体" w:cs="Times New Roman"/>
          <w:sz w:val="32"/>
          <w:szCs w:val="32"/>
        </w:rPr>
        <w:t>下滑，</w:t>
      </w:r>
      <w:r>
        <w:rPr>
          <w:rFonts w:hint="default" w:ascii="Times New Roman" w:hAnsi="Times New Roman" w:eastAsia="方正仿宋简体" w:cs="Times New Roman"/>
          <w:sz w:val="32"/>
          <w:szCs w:val="32"/>
          <w:lang w:val="en-US" w:eastAsia="zh-CN"/>
        </w:rPr>
        <w:t>商品房去化承压</w:t>
      </w:r>
      <w:r>
        <w:rPr>
          <w:rFonts w:hint="default" w:ascii="Times New Roman" w:hAnsi="Times New Roman" w:eastAsia="方正仿宋简体" w:cs="Times New Roman"/>
          <w:sz w:val="32"/>
          <w:szCs w:val="32"/>
        </w:rPr>
        <w:t>，去化周期</w:t>
      </w:r>
      <w:r>
        <w:rPr>
          <w:rFonts w:hint="default" w:ascii="Times New Roman" w:hAnsi="Times New Roman" w:eastAsia="方正仿宋简体" w:cs="Times New Roman"/>
          <w:sz w:val="32"/>
          <w:szCs w:val="32"/>
          <w:lang w:val="en-US" w:eastAsia="zh-CN"/>
        </w:rPr>
        <w:t>逐步回归</w:t>
      </w:r>
      <w:r>
        <w:rPr>
          <w:rFonts w:hint="default" w:ascii="Times New Roman" w:hAnsi="Times New Roman" w:eastAsia="方正仿宋简体" w:cs="Times New Roman"/>
          <w:sz w:val="32"/>
          <w:szCs w:val="32"/>
        </w:rPr>
        <w:t>合理区间，</w:t>
      </w:r>
      <w:r>
        <w:rPr>
          <w:rFonts w:hint="default" w:ascii="Times New Roman" w:hAnsi="Times New Roman" w:eastAsia="方正仿宋简体" w:cs="Times New Roman"/>
          <w:sz w:val="32"/>
          <w:szCs w:val="32"/>
          <w:lang w:val="en-US" w:eastAsia="zh-CN"/>
        </w:rPr>
        <w:t>房地产</w:t>
      </w:r>
      <w:r>
        <w:rPr>
          <w:rFonts w:hint="default" w:ascii="Times New Roman" w:hAnsi="Times New Roman" w:eastAsia="方正仿宋简体" w:cs="Times New Roman"/>
          <w:sz w:val="32"/>
          <w:szCs w:val="32"/>
        </w:rPr>
        <w:t>市场正处于从供应过剩</w:t>
      </w:r>
      <w:r>
        <w:rPr>
          <w:rFonts w:hint="default" w:ascii="Times New Roman" w:hAnsi="Times New Roman" w:eastAsia="方正仿宋简体" w:cs="Times New Roman"/>
          <w:sz w:val="32"/>
          <w:szCs w:val="32"/>
          <w:lang w:val="en-US" w:eastAsia="zh-CN"/>
        </w:rPr>
        <w:t>转向</w:t>
      </w:r>
      <w:r>
        <w:rPr>
          <w:rFonts w:hint="default" w:ascii="Times New Roman" w:hAnsi="Times New Roman" w:eastAsia="方正仿宋简体" w:cs="Times New Roman"/>
          <w:sz w:val="32"/>
          <w:szCs w:val="32"/>
        </w:rPr>
        <w:t>供需平衡的调整期</w:t>
      </w:r>
      <w:r>
        <w:rPr>
          <w:rFonts w:hint="default" w:ascii="Times New Roman" w:hAnsi="Times New Roman" w:eastAsia="方正仿宋简体" w:cs="Times New Roman"/>
          <w:sz w:val="32"/>
          <w:szCs w:val="32"/>
          <w:lang w:eastAsia="zh-CN"/>
        </w:rPr>
        <w:t>。</w:t>
      </w:r>
    </w:p>
    <w:p w14:paraId="084BF1AA">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130" w:name="_Toc15680"/>
      <w:bookmarkStart w:id="131" w:name="_Toc25140"/>
      <w:bookmarkStart w:id="132" w:name="_Toc29211"/>
      <w:bookmarkStart w:id="133" w:name="_Toc31985"/>
      <w:bookmarkStart w:id="134" w:name="_Toc3509"/>
      <w:bookmarkStart w:id="135" w:name="_Toc8558"/>
      <w:bookmarkStart w:id="136" w:name="_Toc26259"/>
      <w:bookmarkStart w:id="137" w:name="_Toc31662"/>
      <w:bookmarkStart w:id="138" w:name="_Toc17956"/>
      <w:bookmarkStart w:id="139" w:name="_Toc18326"/>
      <w:bookmarkStart w:id="140" w:name="_Toc25588"/>
      <w:bookmarkStart w:id="141" w:name="_Toc6520"/>
      <w:bookmarkStart w:id="142" w:name="_Toc26016"/>
      <w:bookmarkStart w:id="143" w:name="_Toc15005"/>
      <w:bookmarkStart w:id="144" w:name="_Toc218434147"/>
      <w:bookmarkStart w:id="145" w:name="_Toc9368"/>
      <w:bookmarkStart w:id="146" w:name="_Toc20748"/>
      <w:r>
        <w:rPr>
          <w:rFonts w:hint="default" w:ascii="方正黑体_GBK" w:hAnsi="方正黑体_GBK" w:eastAsia="方正黑体_GBK" w:cs="方正黑体_GBK"/>
          <w:b w:val="0"/>
          <w:bCs w:val="0"/>
          <w:sz w:val="32"/>
          <w:szCs w:val="32"/>
          <w:lang w:val="en-US" w:eastAsia="zh-CN"/>
        </w:rPr>
        <w:t>二、发展成效</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5F5C081B">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default"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val="en-US" w:eastAsia="zh-CN"/>
        </w:rPr>
        <w:t>一</w:t>
      </w:r>
      <w:r>
        <w:rPr>
          <w:rFonts w:hint="default" w:ascii="方正楷体简体" w:hAnsi="方正楷体简体" w:eastAsia="方正楷体简体" w:cs="方正楷体简体"/>
          <w:b w:val="0"/>
          <w:bCs/>
          <w:sz w:val="32"/>
          <w:szCs w:val="32"/>
          <w:lang w:eastAsia="zh-CN"/>
        </w:rPr>
        <w:t>）住房保障力度持续加大</w:t>
      </w:r>
    </w:p>
    <w:p w14:paraId="491997E7">
      <w:pPr>
        <w:keepNext w:val="0"/>
        <w:keepLines w:val="0"/>
        <w:pageBreakBefore w:val="0"/>
        <w:tabs>
          <w:tab w:val="left" w:pos="2715"/>
        </w:tabs>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师市</w:t>
      </w:r>
      <w:r>
        <w:rPr>
          <w:rFonts w:hint="default" w:ascii="Times New Roman" w:hAnsi="Times New Roman" w:eastAsia="方正仿宋简体" w:cs="Times New Roman"/>
          <w:sz w:val="32"/>
          <w:szCs w:val="32"/>
          <w:lang w:val="en-US" w:eastAsia="zh-CN"/>
        </w:rPr>
        <w:t>认真贯彻党中央、兵团关于保障性住房的政策、意见</w:t>
      </w:r>
      <w:r>
        <w:rPr>
          <w:rFonts w:hint="default" w:ascii="Times New Roman" w:hAnsi="Times New Roman" w:eastAsia="方正仿宋简体" w:cs="Times New Roman"/>
          <w:sz w:val="32"/>
          <w:szCs w:val="32"/>
        </w:rPr>
        <w:t>，住房保障力度持续加大</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先后出台了《第十三师商品住房消费补贴活动实施方案</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第十三师新星市中心城区购房补贴活动实施方案》</w:t>
      </w:r>
      <w:r>
        <w:rPr>
          <w:rFonts w:hint="eastAsia" w:eastAsia="方正仿宋简体" w:cs="Times New Roman"/>
          <w:sz w:val="32"/>
          <w:szCs w:val="32"/>
          <w:lang w:eastAsia="zh-CN"/>
        </w:rPr>
        <w:t>，</w:t>
      </w:r>
      <w:r>
        <w:rPr>
          <w:rFonts w:hint="default" w:ascii="Times New Roman" w:hAnsi="Times New Roman" w:eastAsia="方正仿宋简体" w:cs="Times New Roman"/>
          <w:sz w:val="32"/>
          <w:szCs w:val="32"/>
          <w:lang w:val="en-US" w:eastAsia="zh-CN"/>
        </w:rPr>
        <w:t>稳步推进</w:t>
      </w:r>
      <w:r>
        <w:rPr>
          <w:rFonts w:hint="default" w:ascii="Times New Roman" w:hAnsi="Times New Roman" w:eastAsia="方正仿宋简体" w:cs="Times New Roman"/>
          <w:sz w:val="32"/>
          <w:szCs w:val="32"/>
          <w:lang w:eastAsia="zh-CN"/>
        </w:rPr>
        <w:t>保障性住房</w:t>
      </w:r>
      <w:r>
        <w:rPr>
          <w:rFonts w:hint="default" w:ascii="Times New Roman" w:hAnsi="Times New Roman" w:eastAsia="方正仿宋简体" w:cs="Times New Roman"/>
          <w:sz w:val="32"/>
          <w:szCs w:val="32"/>
          <w:lang w:val="en-US" w:eastAsia="zh-CN"/>
        </w:rPr>
        <w:t>建设，</w:t>
      </w:r>
      <w:r>
        <w:rPr>
          <w:rFonts w:hint="default" w:ascii="Times New Roman" w:hAnsi="Times New Roman" w:eastAsia="方正仿宋简体" w:cs="Times New Roman"/>
          <w:sz w:val="32"/>
          <w:szCs w:val="32"/>
        </w:rPr>
        <w:t>基本实现低保、低收入家庭应保尽保，实现住有所居。</w:t>
      </w:r>
    </w:p>
    <w:p w14:paraId="65DDB082">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default" w:ascii="方正楷体简体" w:hAnsi="方正楷体简体" w:eastAsia="方正楷体简体" w:cs="方正楷体简体"/>
          <w:b w:val="0"/>
          <w:bCs/>
          <w:sz w:val="32"/>
          <w:szCs w:val="32"/>
          <w:lang w:val="en-US" w:eastAsia="zh-CN"/>
        </w:rPr>
        <w:t>（二）</w:t>
      </w:r>
      <w:r>
        <w:rPr>
          <w:rFonts w:hint="default" w:ascii="方正楷体简体" w:hAnsi="方正楷体简体" w:eastAsia="方正楷体简体" w:cs="方正楷体简体"/>
          <w:b w:val="0"/>
          <w:bCs/>
          <w:sz w:val="32"/>
          <w:szCs w:val="32"/>
          <w:lang w:eastAsia="zh-CN"/>
        </w:rPr>
        <w:t>住房水平</w:t>
      </w:r>
      <w:r>
        <w:rPr>
          <w:rFonts w:hint="default" w:ascii="方正楷体简体" w:hAnsi="方正楷体简体" w:eastAsia="方正楷体简体" w:cs="方正楷体简体"/>
          <w:b w:val="0"/>
          <w:bCs/>
          <w:sz w:val="32"/>
          <w:szCs w:val="32"/>
          <w:lang w:val="en-US" w:eastAsia="zh-CN"/>
        </w:rPr>
        <w:t>与住区品质明显</w:t>
      </w:r>
      <w:r>
        <w:rPr>
          <w:rFonts w:hint="default" w:ascii="方正楷体简体" w:hAnsi="方正楷体简体" w:eastAsia="方正楷体简体" w:cs="方正楷体简体"/>
          <w:b w:val="0"/>
          <w:bCs/>
          <w:sz w:val="32"/>
          <w:szCs w:val="32"/>
          <w:lang w:eastAsia="zh-CN"/>
        </w:rPr>
        <w:t>提高</w:t>
      </w:r>
    </w:p>
    <w:p w14:paraId="1D0068A5">
      <w:pPr>
        <w:keepNext w:val="0"/>
        <w:keepLines w:val="0"/>
        <w:pageBreakBefore w:val="0"/>
        <w:tabs>
          <w:tab w:val="left" w:pos="2715"/>
        </w:tabs>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师市城镇居民人均住房建筑面积</w:t>
      </w:r>
      <w:r>
        <w:rPr>
          <w:rFonts w:hint="default" w:ascii="Times New Roman" w:hAnsi="Times New Roman" w:eastAsia="方正仿宋简体" w:cs="Times New Roman"/>
          <w:sz w:val="32"/>
          <w:szCs w:val="32"/>
          <w:lang w:val="en-US" w:eastAsia="zh-CN"/>
        </w:rPr>
        <w:t>相比2020年有所增加</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城镇住房功能和配套设施逐步完善</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color w:val="auto"/>
          <w:sz w:val="32"/>
          <w:szCs w:val="32"/>
          <w:lang w:val="en-US" w:eastAsia="zh-CN"/>
        </w:rPr>
        <w:t>城市</w:t>
      </w:r>
      <w:r>
        <w:rPr>
          <w:rFonts w:hint="default" w:ascii="Times New Roman" w:hAnsi="Times New Roman" w:eastAsia="方正仿宋简体" w:cs="Times New Roman"/>
          <w:color w:val="auto"/>
          <w:sz w:val="32"/>
          <w:szCs w:val="32"/>
        </w:rPr>
        <w:t>居住环境得到明显改善</w:t>
      </w:r>
      <w:r>
        <w:rPr>
          <w:rFonts w:hint="default" w:ascii="Times New Roman" w:hAnsi="Times New Roman" w:eastAsia="方正仿宋简体" w:cs="Times New Roman"/>
          <w:sz w:val="32"/>
          <w:szCs w:val="32"/>
          <w:lang w:eastAsia="zh-CN"/>
        </w:rPr>
        <w:t>，“十四五”时期</w:t>
      </w:r>
      <w:r>
        <w:rPr>
          <w:rFonts w:hint="default" w:ascii="Times New Roman" w:hAnsi="Times New Roman" w:eastAsia="方正仿宋简体" w:cs="Times New Roman"/>
          <w:sz w:val="32"/>
          <w:szCs w:val="32"/>
        </w:rPr>
        <w:t>，</w:t>
      </w:r>
      <w:r>
        <w:rPr>
          <w:rFonts w:hint="default" w:ascii="Times New Roman" w:hAnsi="Times New Roman" w:eastAsia="方正仿宋简体" w:cs="Times New Roman"/>
          <w:sz w:val="32"/>
          <w:szCs w:val="32"/>
          <w:lang w:val="en-US" w:eastAsia="zh-CN"/>
        </w:rPr>
        <w:t>师市两个住宅项目纳入兵团“好房子”建设试点项目。</w:t>
      </w:r>
    </w:p>
    <w:p w14:paraId="53EA624F">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val="en-US" w:eastAsia="zh-CN"/>
        </w:rPr>
      </w:pPr>
      <w:r>
        <w:rPr>
          <w:rFonts w:hint="default"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val="en-US" w:eastAsia="zh-CN"/>
        </w:rPr>
        <w:t>三</w:t>
      </w:r>
      <w:r>
        <w:rPr>
          <w:rFonts w:hint="default" w:ascii="方正楷体简体" w:hAnsi="方正楷体简体" w:eastAsia="方正楷体简体" w:cs="方正楷体简体"/>
          <w:b w:val="0"/>
          <w:bCs/>
          <w:sz w:val="32"/>
          <w:szCs w:val="32"/>
          <w:lang w:eastAsia="zh-CN"/>
        </w:rPr>
        <w:t>）住房</w:t>
      </w:r>
      <w:r>
        <w:rPr>
          <w:rFonts w:hint="default" w:ascii="方正楷体简体" w:hAnsi="方正楷体简体" w:eastAsia="方正楷体简体" w:cs="方正楷体简体"/>
          <w:b w:val="0"/>
          <w:bCs/>
          <w:sz w:val="32"/>
          <w:szCs w:val="32"/>
          <w:lang w:val="en-US" w:eastAsia="zh-CN"/>
        </w:rPr>
        <w:t>改造</w:t>
      </w:r>
      <w:r>
        <w:rPr>
          <w:rFonts w:hint="default" w:ascii="方正楷体简体" w:hAnsi="方正楷体简体" w:eastAsia="方正楷体简体" w:cs="方正楷体简体"/>
          <w:b w:val="0"/>
          <w:bCs/>
          <w:sz w:val="32"/>
          <w:szCs w:val="32"/>
          <w:lang w:eastAsia="zh-CN"/>
        </w:rPr>
        <w:t>与</w:t>
      </w:r>
      <w:r>
        <w:rPr>
          <w:rFonts w:hint="default" w:ascii="方正楷体简体" w:hAnsi="方正楷体简体" w:eastAsia="方正楷体简体" w:cs="方正楷体简体"/>
          <w:b w:val="0"/>
          <w:bCs/>
          <w:sz w:val="32"/>
          <w:szCs w:val="32"/>
          <w:lang w:val="en-US" w:eastAsia="zh-CN"/>
        </w:rPr>
        <w:t>危旧房整治成果显著</w:t>
      </w:r>
    </w:p>
    <w:p w14:paraId="6AF27091">
      <w:pPr>
        <w:keepNext w:val="0"/>
        <w:keepLines w:val="0"/>
        <w:pageBreakBefore w:val="0"/>
        <w:tabs>
          <w:tab w:val="left" w:pos="2715"/>
        </w:tabs>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eastAsia="zh-CN"/>
        </w:rPr>
        <w:t>“十四五”时期</w:t>
      </w:r>
      <w:r>
        <w:rPr>
          <w:rFonts w:hint="default" w:ascii="Times New Roman" w:hAnsi="Times New Roman" w:eastAsia="方正仿宋简体" w:cs="Times New Roman"/>
          <w:sz w:val="32"/>
          <w:szCs w:val="32"/>
        </w:rPr>
        <w:t>，</w:t>
      </w:r>
      <w:r>
        <w:rPr>
          <w:rFonts w:hint="default" w:ascii="Times New Roman" w:hAnsi="Times New Roman" w:eastAsia="方正仿宋简体" w:cs="Times New Roman"/>
          <w:sz w:val="32"/>
          <w:szCs w:val="32"/>
          <w:lang w:val="en-US" w:eastAsia="zh-CN"/>
        </w:rPr>
        <w:t>师市整治</w:t>
      </w:r>
      <w:r>
        <w:rPr>
          <w:rFonts w:hint="default" w:ascii="Times New Roman" w:hAnsi="Times New Roman" w:eastAsia="方正仿宋简体" w:cs="Times New Roman"/>
          <w:sz w:val="32"/>
          <w:szCs w:val="32"/>
        </w:rPr>
        <w:t>危旧房屋</w:t>
      </w:r>
      <w:r>
        <w:rPr>
          <w:rFonts w:hint="default" w:ascii="Times New Roman" w:hAnsi="Times New Roman" w:eastAsia="方正仿宋简体" w:cs="Times New Roman"/>
          <w:sz w:val="32"/>
          <w:szCs w:val="32"/>
          <w:lang w:val="en-US" w:eastAsia="zh-CN"/>
        </w:rPr>
        <w:t>成果显著</w:t>
      </w:r>
      <w:r>
        <w:rPr>
          <w:rFonts w:hint="eastAsia" w:eastAsia="方正仿宋简体" w:cs="Times New Roman"/>
          <w:sz w:val="32"/>
          <w:szCs w:val="32"/>
          <w:lang w:val="en-US" w:eastAsia="zh-CN"/>
        </w:rPr>
        <w:t>，</w:t>
      </w:r>
      <w:r>
        <w:rPr>
          <w:rFonts w:hint="default" w:ascii="Times New Roman" w:hAnsi="Times New Roman" w:eastAsia="方正仿宋简体" w:cs="Times New Roman"/>
          <w:sz w:val="32"/>
          <w:szCs w:val="32"/>
          <w:lang w:val="en-US" w:eastAsia="zh-CN"/>
        </w:rPr>
        <w:t>按计划</w:t>
      </w:r>
      <w:r>
        <w:rPr>
          <w:rFonts w:hint="default" w:ascii="Times New Roman" w:hAnsi="Times New Roman" w:eastAsia="方正仿宋简体" w:cs="Times New Roman"/>
          <w:sz w:val="32"/>
          <w:szCs w:val="32"/>
        </w:rPr>
        <w:t>完成棚户区拆除</w:t>
      </w:r>
      <w:r>
        <w:rPr>
          <w:rFonts w:hint="default" w:ascii="Times New Roman" w:hAnsi="Times New Roman" w:eastAsia="方正仿宋简体" w:cs="Times New Roman"/>
          <w:sz w:val="32"/>
          <w:szCs w:val="32"/>
          <w:lang w:val="en-US" w:eastAsia="zh-CN"/>
        </w:rPr>
        <w:t>工作</w:t>
      </w:r>
      <w:r>
        <w:rPr>
          <w:rFonts w:hint="eastAsia" w:eastAsia="方正仿宋简体" w:cs="Times New Roman"/>
          <w:sz w:val="32"/>
          <w:szCs w:val="32"/>
          <w:lang w:val="en-US" w:eastAsia="zh-CN"/>
        </w:rPr>
        <w:t>，</w:t>
      </w:r>
      <w:r>
        <w:rPr>
          <w:rFonts w:hint="default" w:ascii="Times New Roman" w:hAnsi="Times New Roman" w:eastAsia="方正仿宋简体" w:cs="Times New Roman"/>
          <w:sz w:val="32"/>
          <w:szCs w:val="32"/>
          <w:lang w:val="en-US" w:eastAsia="zh-CN"/>
        </w:rPr>
        <w:t>对2005年以前的老旧</w:t>
      </w:r>
      <w:r>
        <w:rPr>
          <w:rFonts w:hint="eastAsia" w:eastAsia="方正仿宋简体" w:cs="Times New Roman"/>
          <w:sz w:val="32"/>
          <w:szCs w:val="32"/>
          <w:lang w:val="en-US" w:eastAsia="zh-CN"/>
        </w:rPr>
        <w:t>小区</w:t>
      </w:r>
      <w:r>
        <w:rPr>
          <w:rFonts w:hint="default" w:ascii="Times New Roman" w:hAnsi="Times New Roman" w:eastAsia="方正仿宋简体" w:cs="Times New Roman"/>
          <w:sz w:val="32"/>
          <w:szCs w:val="32"/>
          <w:lang w:val="en-US" w:eastAsia="zh-CN"/>
        </w:rPr>
        <w:t>全部完成</w:t>
      </w:r>
      <w:r>
        <w:rPr>
          <w:rFonts w:hint="eastAsia" w:eastAsia="方正仿宋简体" w:cs="Times New Roman"/>
          <w:sz w:val="32"/>
          <w:szCs w:val="32"/>
          <w:lang w:val="en-US" w:eastAsia="zh-CN"/>
        </w:rPr>
        <w:t>了改造</w:t>
      </w:r>
      <w:r>
        <w:rPr>
          <w:rFonts w:hint="default" w:ascii="Times New Roman" w:hAnsi="Times New Roman" w:eastAsia="方正仿宋简体" w:cs="Times New Roman"/>
          <w:sz w:val="32"/>
          <w:szCs w:val="32"/>
          <w:lang w:val="en-US" w:eastAsia="zh-CN"/>
        </w:rPr>
        <w:t>。</w:t>
      </w:r>
    </w:p>
    <w:p w14:paraId="68FFF829">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default"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val="en-US" w:eastAsia="zh-CN"/>
        </w:rPr>
        <w:t>四</w:t>
      </w:r>
      <w:r>
        <w:rPr>
          <w:rFonts w:hint="default" w:ascii="方正楷体简体" w:hAnsi="方正楷体简体" w:eastAsia="方正楷体简体" w:cs="方正楷体简体"/>
          <w:b w:val="0"/>
          <w:bCs/>
          <w:sz w:val="32"/>
          <w:szCs w:val="32"/>
          <w:lang w:eastAsia="zh-CN"/>
        </w:rPr>
        <w:t>）物业服务水平持续提升，住区物业实现全覆盖</w:t>
      </w:r>
    </w:p>
    <w:p w14:paraId="779C41C6">
      <w:pPr>
        <w:keepNext w:val="0"/>
        <w:keepLines w:val="0"/>
        <w:pageBreakBefore w:val="0"/>
        <w:tabs>
          <w:tab w:val="left" w:pos="2715"/>
        </w:tabs>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“十四五”时期</w:t>
      </w:r>
      <w:r>
        <w:rPr>
          <w:rFonts w:hint="default" w:ascii="Times New Roman" w:hAnsi="Times New Roman" w:eastAsia="方正仿宋简体" w:cs="Times New Roman"/>
          <w:sz w:val="32"/>
          <w:szCs w:val="32"/>
        </w:rPr>
        <w:t>，</w:t>
      </w:r>
      <w:r>
        <w:rPr>
          <w:rFonts w:hint="default" w:ascii="Times New Roman" w:hAnsi="Times New Roman" w:eastAsia="方正仿宋简体" w:cs="Times New Roman"/>
          <w:sz w:val="32"/>
          <w:szCs w:val="32"/>
          <w:lang w:val="en-US" w:eastAsia="zh-CN"/>
        </w:rPr>
        <w:t>物业服务取得显著成果，</w:t>
      </w:r>
      <w:r>
        <w:rPr>
          <w:rFonts w:hint="default" w:ascii="Times New Roman" w:hAnsi="Times New Roman" w:eastAsia="方正仿宋简体" w:cs="Times New Roman"/>
          <w:sz w:val="32"/>
          <w:szCs w:val="32"/>
        </w:rPr>
        <w:t>师市</w:t>
      </w:r>
      <w:r>
        <w:rPr>
          <w:rFonts w:hint="default" w:ascii="Times New Roman" w:hAnsi="Times New Roman" w:eastAsia="方正仿宋简体" w:cs="Times New Roman"/>
          <w:sz w:val="32"/>
          <w:szCs w:val="32"/>
          <w:lang w:val="en-US" w:eastAsia="zh-CN"/>
        </w:rPr>
        <w:t>住宅</w:t>
      </w:r>
      <w:r>
        <w:rPr>
          <w:rFonts w:hint="default" w:ascii="Times New Roman" w:hAnsi="Times New Roman" w:eastAsia="方正仿宋简体" w:cs="Times New Roman"/>
          <w:sz w:val="32"/>
          <w:szCs w:val="32"/>
        </w:rPr>
        <w:t>小区实现了物业全覆盖</w:t>
      </w:r>
      <w:r>
        <w:rPr>
          <w:rFonts w:hint="default" w:ascii="Times New Roman" w:hAnsi="Times New Roman" w:eastAsia="方正仿宋简体" w:cs="Times New Roman"/>
          <w:sz w:val="32"/>
          <w:szCs w:val="32"/>
          <w:lang w:val="en-US" w:eastAsia="zh-CN"/>
        </w:rPr>
        <w:t>，两个住宅小区纳入兵团“美好家园”</w:t>
      </w:r>
      <w:r>
        <w:rPr>
          <w:rFonts w:hint="default" w:ascii="Times New Roman" w:hAnsi="Times New Roman" w:eastAsia="方正仿宋简体" w:cs="Times New Roman"/>
          <w:sz w:val="32"/>
          <w:szCs w:val="32"/>
          <w:lang w:eastAsia="zh-CN"/>
        </w:rPr>
        <w:t>创建名单</w:t>
      </w:r>
      <w:r>
        <w:rPr>
          <w:rFonts w:hint="default" w:ascii="Times New Roman" w:hAnsi="Times New Roman" w:eastAsia="方正仿宋简体" w:cs="Times New Roman"/>
          <w:sz w:val="32"/>
          <w:szCs w:val="32"/>
          <w:lang w:val="en-US" w:eastAsia="zh-CN"/>
        </w:rPr>
        <w:t>，三家物业服务公司荣获“好物业优小区”称号。</w:t>
      </w:r>
      <w:bookmarkStart w:id="147" w:name="OLE_LINK10"/>
      <w:r>
        <w:rPr>
          <w:rFonts w:hint="default" w:ascii="Times New Roman" w:hAnsi="Times New Roman" w:eastAsia="方正仿宋简体" w:cs="Times New Roman"/>
          <w:sz w:val="32"/>
          <w:szCs w:val="32"/>
          <w:lang w:val="en-US" w:eastAsia="zh-CN"/>
        </w:rPr>
        <w:t>师市组织</w:t>
      </w:r>
      <w:r>
        <w:rPr>
          <w:rFonts w:hint="default" w:ascii="Times New Roman" w:hAnsi="Times New Roman" w:eastAsia="方正仿宋简体" w:cs="Times New Roman"/>
          <w:sz w:val="32"/>
          <w:szCs w:val="32"/>
          <w:lang w:eastAsia="zh-CN"/>
        </w:rPr>
        <w:t>开展了“提升住宅物业管理服务水平”专项行动，</w:t>
      </w:r>
      <w:bookmarkEnd w:id="147"/>
      <w:r>
        <w:rPr>
          <w:rFonts w:hint="default" w:ascii="Times New Roman" w:hAnsi="Times New Roman" w:eastAsia="方正仿宋简体" w:cs="Times New Roman"/>
          <w:sz w:val="32"/>
          <w:szCs w:val="32"/>
          <w:lang w:eastAsia="zh-CN"/>
        </w:rPr>
        <w:t>实</w:t>
      </w:r>
      <w:r>
        <w:rPr>
          <w:rFonts w:hint="eastAsia" w:eastAsia="方正仿宋简体" w:cs="Times New Roman"/>
          <w:sz w:val="32"/>
          <w:szCs w:val="32"/>
          <w:lang w:eastAsia="zh-CN"/>
        </w:rPr>
        <w:t>现了物业</w:t>
      </w:r>
      <w:r>
        <w:rPr>
          <w:rFonts w:hint="default" w:ascii="Times New Roman" w:hAnsi="Times New Roman" w:eastAsia="方正仿宋简体" w:cs="Times New Roman"/>
          <w:sz w:val="32"/>
          <w:szCs w:val="32"/>
          <w:lang w:eastAsia="zh-CN"/>
        </w:rPr>
        <w:t>服务企业经营行为持续</w:t>
      </w:r>
      <w:r>
        <w:rPr>
          <w:rFonts w:hint="eastAsia" w:eastAsia="方正仿宋简体" w:cs="Times New Roman"/>
          <w:sz w:val="32"/>
          <w:szCs w:val="32"/>
          <w:lang w:eastAsia="zh-CN"/>
        </w:rPr>
        <w:t>规范</w:t>
      </w:r>
      <w:r>
        <w:rPr>
          <w:rFonts w:hint="default" w:ascii="Times New Roman" w:hAnsi="Times New Roman" w:eastAsia="方正仿宋简体" w:cs="Times New Roman"/>
          <w:sz w:val="32"/>
          <w:szCs w:val="32"/>
          <w:lang w:eastAsia="zh-CN"/>
        </w:rPr>
        <w:t>。</w:t>
      </w:r>
    </w:p>
    <w:p w14:paraId="10FD6DC9">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default"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val="en-US" w:eastAsia="zh-CN"/>
        </w:rPr>
        <w:t>五</w:t>
      </w:r>
      <w:r>
        <w:rPr>
          <w:rFonts w:hint="default" w:ascii="方正楷体简体" w:hAnsi="方正楷体简体" w:eastAsia="方正楷体简体" w:cs="方正楷体简体"/>
          <w:b w:val="0"/>
          <w:bCs/>
          <w:sz w:val="32"/>
          <w:szCs w:val="32"/>
          <w:lang w:eastAsia="zh-CN"/>
        </w:rPr>
        <w:t>）公积金政策改革</w:t>
      </w:r>
      <w:r>
        <w:rPr>
          <w:rFonts w:hint="default" w:ascii="方正楷体简体" w:hAnsi="方正楷体简体" w:eastAsia="方正楷体简体" w:cs="方正楷体简体"/>
          <w:b w:val="0"/>
          <w:bCs/>
          <w:sz w:val="32"/>
          <w:szCs w:val="32"/>
          <w:lang w:val="en-US" w:eastAsia="zh-CN"/>
        </w:rPr>
        <w:t>成果显著</w:t>
      </w:r>
    </w:p>
    <w:p w14:paraId="3A5645F9">
      <w:pPr>
        <w:keepNext w:val="0"/>
        <w:keepLines w:val="0"/>
        <w:pageBreakBefore w:val="0"/>
        <w:tabs>
          <w:tab w:val="left" w:pos="2715"/>
        </w:tabs>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FF0000"/>
          <w:sz w:val="32"/>
          <w:szCs w:val="32"/>
        </w:rPr>
      </w:pP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十四五</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期间，修订</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并</w:t>
      </w:r>
      <w:r>
        <w:rPr>
          <w:rFonts w:hint="default" w:ascii="Times New Roman" w:hAnsi="Times New Roman" w:eastAsia="方正仿宋简体" w:cs="Times New Roman"/>
          <w:color w:val="000000" w:themeColor="text1"/>
          <w:sz w:val="32"/>
          <w:szCs w:val="32"/>
          <w14:textFill>
            <w14:solidFill>
              <w14:schemeClr w14:val="tx1"/>
            </w14:solidFill>
          </w14:textFill>
        </w:rPr>
        <w:t>通过了住房公积金缴存、贷款等管理办法</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规范缴存基数与比例，下调</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贷款</w:t>
      </w:r>
      <w:r>
        <w:rPr>
          <w:rFonts w:hint="default" w:ascii="Times New Roman" w:hAnsi="Times New Roman" w:eastAsia="方正仿宋简体" w:cs="Times New Roman"/>
          <w:color w:val="000000" w:themeColor="text1"/>
          <w:sz w:val="32"/>
          <w:szCs w:val="32"/>
          <w14:textFill>
            <w14:solidFill>
              <w14:schemeClr w14:val="tx1"/>
            </w14:solidFill>
          </w14:textFill>
        </w:rPr>
        <w:t>利率、提高贷款额度，推出公积金组合贷，取消贷款房屋面积限制</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“十四五”末</w:t>
      </w:r>
      <w:r>
        <w:rPr>
          <w:rFonts w:hint="default" w:ascii="Times New Roman" w:hAnsi="Times New Roman" w:eastAsia="方正仿宋简体" w:cs="Times New Roman"/>
          <w:color w:val="000000" w:themeColor="text1"/>
          <w:sz w:val="32"/>
          <w:szCs w:val="32"/>
          <w14:textFill>
            <w14:solidFill>
              <w14:schemeClr w14:val="tx1"/>
            </w14:solidFill>
          </w14:textFill>
        </w:rPr>
        <w:t>，</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师市</w:t>
      </w:r>
      <w:r>
        <w:rPr>
          <w:rFonts w:hint="default" w:ascii="Times New Roman" w:hAnsi="Times New Roman" w:eastAsia="方正仿宋简体" w:cs="Times New Roman"/>
          <w:color w:val="000000" w:themeColor="text1"/>
          <w:sz w:val="32"/>
          <w:szCs w:val="32"/>
          <w14:textFill>
            <w14:solidFill>
              <w14:schemeClr w14:val="tx1"/>
            </w14:solidFill>
          </w14:textFill>
        </w:rPr>
        <w:t>正常缴存公积金人数</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缴存总额、</w:t>
      </w:r>
      <w:r>
        <w:rPr>
          <w:rFonts w:hint="default" w:ascii="Times New Roman" w:hAnsi="Times New Roman" w:eastAsia="方正仿宋简体" w:cs="Times New Roman"/>
          <w:color w:val="000000" w:themeColor="text1"/>
          <w:sz w:val="32"/>
          <w:szCs w:val="32"/>
          <w14:textFill>
            <w14:solidFill>
              <w14:schemeClr w14:val="tx1"/>
            </w14:solidFill>
          </w14:textFill>
        </w:rPr>
        <w:t>公积金贷款金额</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贷款人数等各项数据较“十三五”时期均有提高。</w:t>
      </w:r>
    </w:p>
    <w:p w14:paraId="2EDD1DA3">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148" w:name="_Toc79"/>
      <w:bookmarkStart w:id="149" w:name="_Toc763"/>
      <w:bookmarkStart w:id="150" w:name="_Toc21308"/>
      <w:bookmarkStart w:id="151" w:name="_Toc13379"/>
      <w:bookmarkStart w:id="152" w:name="_Toc10304"/>
      <w:bookmarkStart w:id="153" w:name="_Toc6846"/>
      <w:bookmarkStart w:id="154" w:name="_Toc25660"/>
      <w:bookmarkStart w:id="155" w:name="_Toc218434148"/>
      <w:bookmarkStart w:id="156" w:name="_Toc15171"/>
      <w:bookmarkStart w:id="157" w:name="_Toc25168"/>
      <w:bookmarkStart w:id="158" w:name="_Toc11373"/>
      <w:bookmarkStart w:id="159" w:name="_Toc13896"/>
      <w:bookmarkStart w:id="160" w:name="_Toc196403168"/>
      <w:bookmarkStart w:id="161" w:name="_Toc30885"/>
      <w:bookmarkStart w:id="162" w:name="_Toc7344"/>
      <w:bookmarkStart w:id="163" w:name="_Toc7988"/>
      <w:bookmarkStart w:id="164" w:name="_Toc13818"/>
      <w:bookmarkStart w:id="165" w:name="_Toc25940"/>
      <w:r>
        <w:rPr>
          <w:rFonts w:hint="default" w:ascii="方正黑体_GBK" w:hAnsi="方正黑体_GBK" w:eastAsia="方正黑体_GBK" w:cs="方正黑体_GBK"/>
          <w:b w:val="0"/>
          <w:bCs w:val="0"/>
          <w:sz w:val="32"/>
          <w:szCs w:val="32"/>
          <w:lang w:val="en-US" w:eastAsia="zh-CN"/>
        </w:rPr>
        <w:t>三、存在问题</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0C63EA12">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val="en-US" w:eastAsia="zh-CN"/>
        </w:rPr>
      </w:pPr>
      <w:r>
        <w:rPr>
          <w:rFonts w:hint="default"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val="en-US" w:eastAsia="zh-CN"/>
        </w:rPr>
        <w:t>一</w:t>
      </w:r>
      <w:r>
        <w:rPr>
          <w:rFonts w:hint="default" w:ascii="方正楷体简体" w:hAnsi="方正楷体简体" w:eastAsia="方正楷体简体" w:cs="方正楷体简体"/>
          <w:b w:val="0"/>
          <w:bCs/>
          <w:sz w:val="32"/>
          <w:szCs w:val="32"/>
          <w:lang w:eastAsia="zh-CN"/>
        </w:rPr>
        <w:t>）住房供需</w:t>
      </w:r>
      <w:r>
        <w:rPr>
          <w:rFonts w:hint="default" w:ascii="方正楷体简体" w:hAnsi="方正楷体简体" w:eastAsia="方正楷体简体" w:cs="方正楷体简体"/>
          <w:b w:val="0"/>
          <w:bCs/>
          <w:sz w:val="32"/>
          <w:szCs w:val="32"/>
          <w:lang w:val="en-US" w:eastAsia="zh-CN"/>
        </w:rPr>
        <w:t>有待进一步优化</w:t>
      </w:r>
    </w:p>
    <w:p w14:paraId="4D0317C7">
      <w:pPr>
        <w:keepNext w:val="0"/>
        <w:keepLines w:val="0"/>
        <w:pageBreakBefore w:val="0"/>
        <w:tabs>
          <w:tab w:val="left" w:pos="2715"/>
        </w:tabs>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pPr>
      <w:r>
        <w:rPr>
          <w:rFonts w:hint="default" w:ascii="Times New Roman" w:hAnsi="Times New Roman" w:eastAsia="方正仿宋简体" w:cs="Times New Roman"/>
          <w:color w:val="000000" w:themeColor="text1"/>
          <w:sz w:val="32"/>
          <w:szCs w:val="32"/>
          <w14:textFill>
            <w14:solidFill>
              <w14:schemeClr w14:val="tx1"/>
            </w14:solidFill>
          </w14:textFill>
        </w:rPr>
        <w:t>师市</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各</w:t>
      </w:r>
      <w:r>
        <w:rPr>
          <w:rFonts w:hint="default" w:ascii="Times New Roman" w:hAnsi="Times New Roman" w:eastAsia="方正仿宋简体" w:cs="Times New Roman"/>
          <w:color w:val="000000" w:themeColor="text1"/>
          <w:sz w:val="32"/>
          <w:szCs w:val="32"/>
          <w14:textFill>
            <w14:solidFill>
              <w14:schemeClr w14:val="tx1"/>
            </w14:solidFill>
          </w14:textFill>
        </w:rPr>
        <w:t>团场</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经济与社会发展具有一定的区域差异，住房发展</w:t>
      </w:r>
      <w:r>
        <w:rPr>
          <w:rFonts w:hint="default" w:ascii="Times New Roman" w:hAnsi="Times New Roman" w:eastAsia="方正仿宋简体" w:cs="Times New Roman"/>
          <w:color w:val="000000" w:themeColor="text1"/>
          <w:sz w:val="32"/>
          <w:szCs w:val="32"/>
          <w14:textFill>
            <w14:solidFill>
              <w14:schemeClr w14:val="tx1"/>
            </w14:solidFill>
          </w14:textFill>
        </w:rPr>
        <w:t>受产业发展情况</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人口数量与结构、区域</w:t>
      </w:r>
      <w:r>
        <w:rPr>
          <w:rFonts w:hint="default" w:ascii="Times New Roman" w:hAnsi="Times New Roman" w:eastAsia="方正仿宋简体" w:cs="Times New Roman"/>
          <w:color w:val="000000" w:themeColor="text1"/>
          <w:sz w:val="32"/>
          <w:szCs w:val="32"/>
          <w14:textFill>
            <w14:solidFill>
              <w14:schemeClr w14:val="tx1"/>
            </w14:solidFill>
          </w14:textFill>
        </w:rPr>
        <w:t>位置</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多重</w:t>
      </w:r>
      <w:r>
        <w:rPr>
          <w:rFonts w:hint="default" w:ascii="Times New Roman" w:hAnsi="Times New Roman" w:eastAsia="方正仿宋简体" w:cs="Times New Roman"/>
          <w:color w:val="000000" w:themeColor="text1"/>
          <w:sz w:val="32"/>
          <w:szCs w:val="32"/>
          <w14:textFill>
            <w14:solidFill>
              <w14:schemeClr w14:val="tx1"/>
            </w14:solidFill>
          </w14:textFill>
        </w:rPr>
        <w:t>影响，</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住房供需矛盾各异，</w:t>
      </w:r>
      <w:r>
        <w:rPr>
          <w:rFonts w:hint="default" w:ascii="Times New Roman" w:hAnsi="Times New Roman" w:eastAsia="方正仿宋简体" w:cs="Times New Roman"/>
          <w:color w:val="000000" w:themeColor="text1"/>
          <w:sz w:val="32"/>
          <w:szCs w:val="32"/>
          <w14:textFill>
            <w14:solidFill>
              <w14:schemeClr w14:val="tx1"/>
            </w14:solidFill>
          </w14:textFill>
        </w:rPr>
        <w:t>住房</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发展</w:t>
      </w:r>
      <w:r>
        <w:rPr>
          <w:rFonts w:hint="default" w:ascii="Times New Roman" w:hAnsi="Times New Roman" w:eastAsia="方正仿宋简体" w:cs="Times New Roman"/>
          <w:color w:val="000000" w:themeColor="text1"/>
          <w:sz w:val="32"/>
          <w:szCs w:val="32"/>
          <w14:textFill>
            <w14:solidFill>
              <w14:schemeClr w14:val="tx1"/>
            </w14:solidFill>
          </w14:textFill>
        </w:rPr>
        <w:t>需进一步匹配市场需求，避免出现保障性住房入住率低、</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商品房过剩的情况</w:t>
      </w:r>
      <w:r>
        <w:rPr>
          <w:rFonts w:hint="default" w:ascii="Times New Roman" w:hAnsi="Times New Roman" w:eastAsia="方正仿宋简体" w:cs="Times New Roman"/>
          <w:color w:val="000000" w:themeColor="text1"/>
          <w:sz w:val="32"/>
          <w:szCs w:val="32"/>
          <w14:textFill>
            <w14:solidFill>
              <w14:schemeClr w14:val="tx1"/>
            </w14:solidFill>
          </w14:textFill>
        </w:rPr>
        <w:t>。</w:t>
      </w:r>
    </w:p>
    <w:p w14:paraId="26DA8AA3">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eastAsia" w:ascii="方正楷体简体" w:hAnsi="方正楷体简体" w:eastAsia="方正楷体简体" w:cs="方正楷体简体"/>
          <w:b w:val="0"/>
          <w:bCs/>
          <w:sz w:val="32"/>
          <w:szCs w:val="32"/>
          <w:lang w:eastAsia="zh-CN"/>
        </w:rPr>
        <w:t>（</w:t>
      </w:r>
      <w:r>
        <w:rPr>
          <w:rFonts w:hint="eastAsia" w:ascii="方正楷体简体" w:hAnsi="方正楷体简体" w:eastAsia="方正楷体简体" w:cs="方正楷体简体"/>
          <w:b w:val="0"/>
          <w:bCs/>
          <w:sz w:val="32"/>
          <w:szCs w:val="32"/>
          <w:lang w:val="en-US" w:eastAsia="zh-CN"/>
        </w:rPr>
        <w:t>二</w:t>
      </w:r>
      <w:r>
        <w:rPr>
          <w:rFonts w:hint="eastAsia"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eastAsia="zh-CN"/>
        </w:rPr>
        <w:t>住房品质有待进一步提升</w:t>
      </w:r>
    </w:p>
    <w:p w14:paraId="3CB1D7FD">
      <w:pPr>
        <w:keepNext w:val="0"/>
        <w:keepLines w:val="0"/>
        <w:pageBreakBefore w:val="0"/>
        <w:numPr>
          <w:ilvl w:val="0"/>
          <w:numId w:val="0"/>
        </w:numPr>
        <w:tabs>
          <w:tab w:val="left" w:pos="2715"/>
        </w:tabs>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14:textFill>
            <w14:solidFill>
              <w14:schemeClr w14:val="tx1"/>
            </w14:solidFill>
          </w14:textFill>
        </w:rPr>
      </w:pPr>
      <w:r>
        <w:rPr>
          <w:rFonts w:hint="default" w:ascii="Times New Roman" w:hAnsi="Times New Roman" w:eastAsia="方正仿宋简体" w:cs="Times New Roman"/>
          <w:sz w:val="32"/>
          <w:szCs w:val="32"/>
        </w:rPr>
        <w:t>师市</w:t>
      </w:r>
      <w:r>
        <w:rPr>
          <w:rFonts w:hint="default" w:ascii="Times New Roman" w:hAnsi="Times New Roman" w:eastAsia="方正仿宋简体" w:cs="Times New Roman"/>
          <w:sz w:val="32"/>
          <w:szCs w:val="32"/>
          <w:lang w:val="en-US" w:eastAsia="zh-CN"/>
        </w:rPr>
        <w:t>2008年以来建设的保障性住房存在</w:t>
      </w:r>
      <w:r>
        <w:rPr>
          <w:rFonts w:hint="default" w:ascii="Times New Roman" w:hAnsi="Times New Roman" w:eastAsia="方正仿宋简体" w:cs="Times New Roman"/>
          <w:sz w:val="32"/>
          <w:szCs w:val="32"/>
        </w:rPr>
        <w:t>配套设施不完善、户型面积小、层高低、装修老旧等</w:t>
      </w:r>
      <w:r>
        <w:rPr>
          <w:rFonts w:hint="default" w:ascii="Times New Roman" w:hAnsi="Times New Roman" w:eastAsia="方正仿宋简体" w:cs="Times New Roman"/>
          <w:sz w:val="32"/>
          <w:szCs w:val="32"/>
          <w:lang w:val="en-US" w:eastAsia="zh-CN"/>
        </w:rPr>
        <w:t>问题，仅能</w:t>
      </w:r>
      <w:r>
        <w:rPr>
          <w:rFonts w:hint="default" w:ascii="Times New Roman" w:hAnsi="Times New Roman" w:eastAsia="方正仿宋简体" w:cs="Times New Roman"/>
          <w:sz w:val="32"/>
          <w:szCs w:val="32"/>
        </w:rPr>
        <w:t>满足基本居住需求</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lang w:val="en-US" w:eastAsia="zh-CN"/>
        </w:rPr>
        <w:t>师市近年来建设的商品房</w:t>
      </w:r>
      <w:r>
        <w:rPr>
          <w:rFonts w:hint="default" w:ascii="Times New Roman" w:hAnsi="Times New Roman" w:eastAsia="方正仿宋简体" w:cs="Times New Roman"/>
          <w:sz w:val="32"/>
          <w:szCs w:val="32"/>
        </w:rPr>
        <w:t>，</w:t>
      </w:r>
      <w:r>
        <w:rPr>
          <w:rFonts w:hint="default" w:ascii="Times New Roman" w:hAnsi="Times New Roman" w:eastAsia="方正仿宋简体" w:cs="Times New Roman"/>
          <w:sz w:val="32"/>
          <w:szCs w:val="32"/>
          <w:lang w:val="en-US" w:eastAsia="zh-CN"/>
        </w:rPr>
        <w:t>存在规划设计理念滞后、</w:t>
      </w:r>
      <w:r>
        <w:rPr>
          <w:rFonts w:hint="default" w:ascii="Times New Roman" w:hAnsi="Times New Roman" w:eastAsia="方正仿宋简体" w:cs="Times New Roman"/>
          <w:sz w:val="32"/>
          <w:szCs w:val="32"/>
        </w:rPr>
        <w:t>建设标准</w:t>
      </w:r>
      <w:r>
        <w:rPr>
          <w:rFonts w:hint="default" w:ascii="Times New Roman" w:hAnsi="Times New Roman" w:eastAsia="方正仿宋简体" w:cs="Times New Roman"/>
          <w:sz w:val="32"/>
          <w:szCs w:val="32"/>
          <w:lang w:val="en-US" w:eastAsia="zh-CN"/>
        </w:rPr>
        <w:t>不高</w:t>
      </w:r>
      <w:r>
        <w:rPr>
          <w:rFonts w:hint="default" w:ascii="Times New Roman" w:hAnsi="Times New Roman" w:eastAsia="方正仿宋简体" w:cs="Times New Roman"/>
          <w:sz w:val="32"/>
          <w:szCs w:val="32"/>
        </w:rPr>
        <w:t>、施工工艺</w:t>
      </w:r>
      <w:r>
        <w:rPr>
          <w:rFonts w:hint="default" w:ascii="Times New Roman" w:hAnsi="Times New Roman" w:eastAsia="方正仿宋简体" w:cs="Times New Roman"/>
          <w:sz w:val="32"/>
          <w:szCs w:val="32"/>
          <w:lang w:val="en-US" w:eastAsia="zh-CN"/>
        </w:rPr>
        <w:t>把控不严</w:t>
      </w:r>
      <w:r>
        <w:rPr>
          <w:rFonts w:hint="default" w:ascii="Times New Roman" w:hAnsi="Times New Roman" w:eastAsia="方正仿宋简体" w:cs="Times New Roman"/>
          <w:sz w:val="32"/>
          <w:szCs w:val="32"/>
        </w:rPr>
        <w:t>的</w:t>
      </w:r>
      <w:r>
        <w:rPr>
          <w:rFonts w:hint="default" w:ascii="Times New Roman" w:hAnsi="Times New Roman" w:eastAsia="方正仿宋简体" w:cs="Times New Roman"/>
          <w:sz w:val="32"/>
          <w:szCs w:val="32"/>
          <w:lang w:val="en-US" w:eastAsia="zh-CN"/>
        </w:rPr>
        <w:t>问题</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lang w:val="en-US" w:eastAsia="zh-CN"/>
        </w:rPr>
        <w:t>整体来说，</w:t>
      </w:r>
      <w:r>
        <w:rPr>
          <w:rFonts w:hint="default" w:ascii="Times New Roman" w:hAnsi="Times New Roman" w:eastAsia="方正仿宋简体" w:cs="Times New Roman"/>
          <w:sz w:val="32"/>
          <w:szCs w:val="32"/>
        </w:rPr>
        <w:t>与“好房子”</w:t>
      </w:r>
      <w:r>
        <w:rPr>
          <w:rFonts w:hint="eastAsia" w:eastAsia="方正仿宋简体" w:cs="Times New Roman"/>
          <w:sz w:val="32"/>
          <w:szCs w:val="32"/>
          <w:lang w:eastAsia="zh-CN"/>
        </w:rPr>
        <w:t>的要求还</w:t>
      </w:r>
      <w:r>
        <w:rPr>
          <w:rFonts w:hint="default" w:ascii="Times New Roman" w:hAnsi="Times New Roman" w:eastAsia="方正仿宋简体" w:cs="Times New Roman"/>
          <w:sz w:val="32"/>
          <w:szCs w:val="32"/>
        </w:rPr>
        <w:t>存在一定的差距</w:t>
      </w:r>
      <w:r>
        <w:rPr>
          <w:rFonts w:hint="default" w:ascii="Times New Roman" w:hAnsi="Times New Roman" w:eastAsia="方正仿宋简体" w:cs="Times New Roman"/>
          <w:sz w:val="32"/>
          <w:szCs w:val="32"/>
          <w:lang w:val="en-US" w:eastAsia="zh-CN"/>
        </w:rPr>
        <w:t>。</w:t>
      </w:r>
    </w:p>
    <w:p w14:paraId="34B6C633">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eastAsia" w:ascii="方正楷体简体" w:hAnsi="方正楷体简体" w:eastAsia="方正楷体简体" w:cs="方正楷体简体"/>
          <w:b w:val="0"/>
          <w:bCs/>
          <w:sz w:val="32"/>
          <w:szCs w:val="32"/>
          <w:lang w:val="en-US" w:eastAsia="zh-CN"/>
        </w:rPr>
        <w:t>（三）</w:t>
      </w:r>
      <w:r>
        <w:rPr>
          <w:rFonts w:hint="default" w:ascii="方正楷体简体" w:hAnsi="方正楷体简体" w:eastAsia="方正楷体简体" w:cs="方正楷体简体"/>
          <w:b w:val="0"/>
          <w:bCs/>
          <w:sz w:val="32"/>
          <w:szCs w:val="32"/>
          <w:lang w:val="en-US" w:eastAsia="zh-CN"/>
        </w:rPr>
        <w:t>公服配套</w:t>
      </w:r>
      <w:r>
        <w:rPr>
          <w:rFonts w:hint="default" w:ascii="方正楷体简体" w:hAnsi="方正楷体简体" w:eastAsia="方正楷体简体" w:cs="方正楷体简体"/>
          <w:b w:val="0"/>
          <w:bCs/>
          <w:sz w:val="32"/>
          <w:szCs w:val="32"/>
          <w:lang w:eastAsia="zh-CN"/>
        </w:rPr>
        <w:t>配置不足、布局不均</w:t>
      </w:r>
    </w:p>
    <w:p w14:paraId="3D5501AE">
      <w:pPr>
        <w:keepNext w:val="0"/>
        <w:keepLines w:val="0"/>
        <w:pageBreakBefore w:val="0"/>
        <w:numPr>
          <w:ilvl w:val="0"/>
          <w:numId w:val="0"/>
        </w:numPr>
        <w:tabs>
          <w:tab w:val="left" w:pos="2715"/>
        </w:tabs>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14:textFill>
            <w14:solidFill>
              <w14:schemeClr w14:val="tx1"/>
            </w14:solidFill>
          </w14:textFill>
        </w:rPr>
      </w:pPr>
      <w:r>
        <w:rPr>
          <w:rFonts w:hint="default" w:ascii="Times New Roman" w:hAnsi="Times New Roman" w:eastAsia="方正仿宋简体" w:cs="Times New Roman"/>
          <w:i w:val="0"/>
          <w:kern w:val="2"/>
          <w:sz w:val="32"/>
          <w:szCs w:val="32"/>
          <w:u w:val="none"/>
          <w:lang w:val="en-US" w:eastAsia="zh-CN" w:bidi="ar"/>
        </w:rPr>
        <w:t>“十四五”时期，师市</w:t>
      </w:r>
      <w:r>
        <w:rPr>
          <w:rFonts w:hint="default" w:ascii="Times New Roman" w:hAnsi="Times New Roman" w:eastAsia="方正仿宋简体" w:cs="Times New Roman"/>
          <w:sz w:val="32"/>
          <w:szCs w:val="32"/>
          <w:lang w:val="en-US" w:eastAsia="zh-CN"/>
        </w:rPr>
        <w:t>公共空间存在种类欠丰富</w:t>
      </w:r>
      <w:r>
        <w:rPr>
          <w:rFonts w:hint="eastAsia" w:eastAsia="方正仿宋简体" w:cs="Times New Roman"/>
          <w:sz w:val="32"/>
          <w:szCs w:val="32"/>
          <w:lang w:val="en-US" w:eastAsia="zh-CN"/>
        </w:rPr>
        <w:t>、</w:t>
      </w:r>
      <w:r>
        <w:rPr>
          <w:rFonts w:hint="default" w:ascii="Times New Roman" w:hAnsi="Times New Roman" w:eastAsia="方正仿宋简体" w:cs="Times New Roman"/>
          <w:sz w:val="32"/>
          <w:szCs w:val="32"/>
          <w:lang w:val="en-US" w:eastAsia="zh-CN"/>
        </w:rPr>
        <w:t>分布不均衡等问题，缺乏社区级的公共活动空间；</w:t>
      </w:r>
      <w:r>
        <w:rPr>
          <w:rFonts w:hint="default" w:ascii="Times New Roman" w:hAnsi="Times New Roman" w:eastAsia="方正仿宋简体" w:cs="Times New Roman"/>
          <w:b w:val="0"/>
          <w:sz w:val="32"/>
          <w:szCs w:val="32"/>
          <w:u w:val="none"/>
          <w:lang w:bidi="ar"/>
        </w:rPr>
        <w:t>养老</w:t>
      </w:r>
      <w:r>
        <w:rPr>
          <w:rFonts w:hint="default" w:ascii="Times New Roman" w:hAnsi="Times New Roman" w:eastAsia="方正仿宋简体" w:cs="Times New Roman"/>
          <w:b w:val="0"/>
          <w:sz w:val="32"/>
          <w:szCs w:val="32"/>
          <w:u w:val="none"/>
          <w:lang w:val="en-US" w:eastAsia="zh-CN" w:bidi="ar"/>
        </w:rPr>
        <w:t>设施存在</w:t>
      </w:r>
      <w:r>
        <w:rPr>
          <w:rFonts w:hint="default" w:ascii="Times New Roman" w:hAnsi="Times New Roman" w:eastAsia="方正仿宋简体" w:cs="Times New Roman"/>
          <w:b w:val="0"/>
          <w:sz w:val="32"/>
          <w:szCs w:val="32"/>
          <w:u w:val="none"/>
          <w:lang w:bidi="ar"/>
        </w:rPr>
        <w:t>布局不均</w:t>
      </w:r>
      <w:r>
        <w:rPr>
          <w:rFonts w:hint="default" w:ascii="Times New Roman" w:hAnsi="Times New Roman" w:eastAsia="方正仿宋简体" w:cs="Times New Roman"/>
          <w:b w:val="0"/>
          <w:sz w:val="32"/>
          <w:szCs w:val="32"/>
          <w:u w:val="none"/>
          <w:lang w:eastAsia="zh-CN" w:bidi="ar"/>
        </w:rPr>
        <w:t>、</w:t>
      </w:r>
      <w:r>
        <w:rPr>
          <w:rFonts w:hint="default" w:ascii="Times New Roman" w:hAnsi="Times New Roman" w:eastAsia="方正仿宋简体" w:cs="Times New Roman"/>
          <w:b w:val="0"/>
          <w:sz w:val="32"/>
          <w:szCs w:val="32"/>
          <w:u w:val="none"/>
          <w:lang w:val="en-US" w:eastAsia="zh-CN" w:bidi="ar"/>
        </w:rPr>
        <w:t>建设相对滞后</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养老服务开展缺乏基础平台</w:t>
      </w:r>
      <w:r>
        <w:rPr>
          <w:rFonts w:hint="default" w:ascii="Times New Roman" w:hAnsi="Times New Roman" w:eastAsia="方正仿宋简体" w:cs="Times New Roman"/>
          <w:b w:val="0"/>
          <w:sz w:val="32"/>
          <w:szCs w:val="32"/>
          <w:u w:val="none"/>
          <w:lang w:val="en-US" w:eastAsia="zh-CN" w:bidi="ar"/>
        </w:rPr>
        <w:t>的问题</w:t>
      </w:r>
      <w:r>
        <w:rPr>
          <w:rFonts w:hint="default" w:ascii="Times New Roman" w:hAnsi="Times New Roman" w:eastAsia="方正仿宋简体" w:cs="Times New Roman"/>
          <w:sz w:val="32"/>
          <w:szCs w:val="32"/>
          <w:lang w:eastAsia="zh-CN"/>
        </w:rPr>
        <w:t>；托幼</w:t>
      </w:r>
      <w:r>
        <w:rPr>
          <w:rFonts w:hint="default" w:ascii="Times New Roman" w:hAnsi="Times New Roman" w:eastAsia="方正仿宋简体" w:cs="Times New Roman"/>
          <w:sz w:val="32"/>
          <w:szCs w:val="32"/>
          <w:lang w:val="en-US" w:eastAsia="zh-CN"/>
        </w:rPr>
        <w:t>教育发展不均衡，社区托育机构数量少，幼儿园设施设备及保教质量有待提升</w:t>
      </w:r>
      <w:r>
        <w:rPr>
          <w:rFonts w:hint="default" w:ascii="Times New Roman" w:hAnsi="Times New Roman" w:eastAsia="方正仿宋简体" w:cs="Times New Roman"/>
          <w:sz w:val="32"/>
          <w:szCs w:val="32"/>
          <w:lang w:eastAsia="zh-CN"/>
        </w:rPr>
        <w:t>。</w:t>
      </w:r>
    </w:p>
    <w:p w14:paraId="3FD4DD44">
      <w:pPr>
        <w:keepNext w:val="0"/>
        <w:keepLines w:val="0"/>
        <w:pageBreakBefore w:val="0"/>
        <w:kinsoku/>
        <w:wordWrap/>
        <w:overflowPunct/>
        <w:topLinePunct w:val="0"/>
        <w:bidi w:val="0"/>
        <w:snapToGrid/>
        <w:spacing w:line="560" w:lineRule="exact"/>
        <w:jc w:val="center"/>
        <w:textAlignment w:val="auto"/>
        <w:rPr>
          <w:rFonts w:hint="default" w:ascii="Times New Roman" w:hAnsi="Times New Roman" w:eastAsia="方正黑体_GBK" w:cs="Times New Roman"/>
          <w:b w:val="0"/>
          <w:bCs w:val="0"/>
          <w:sz w:val="32"/>
          <w:szCs w:val="32"/>
          <w:lang w:val="en-US" w:eastAsia="zh-CN"/>
        </w:rPr>
      </w:pPr>
      <w:bookmarkStart w:id="166" w:name="_Toc13559"/>
      <w:bookmarkStart w:id="167" w:name="_Toc31568"/>
      <w:bookmarkStart w:id="168" w:name="_Toc3664"/>
      <w:bookmarkStart w:id="169" w:name="_Toc31562"/>
      <w:bookmarkStart w:id="170" w:name="_Toc14802"/>
      <w:bookmarkStart w:id="171" w:name="_Toc2176"/>
      <w:bookmarkStart w:id="172" w:name="_Toc12432"/>
      <w:bookmarkStart w:id="173" w:name="_Toc4377"/>
      <w:bookmarkStart w:id="174" w:name="_Toc12613"/>
      <w:bookmarkStart w:id="175" w:name="_Toc26304"/>
      <w:bookmarkStart w:id="176" w:name="_Toc23230"/>
      <w:bookmarkStart w:id="177" w:name="_Toc30771"/>
      <w:bookmarkStart w:id="178" w:name="_Toc218434149"/>
      <w:bookmarkStart w:id="179" w:name="_Toc7399"/>
      <w:bookmarkStart w:id="180" w:name="_Toc8582"/>
      <w:bookmarkStart w:id="181" w:name="_Toc21699"/>
      <w:bookmarkStart w:id="182" w:name="_Toc10128"/>
      <w:r>
        <w:rPr>
          <w:rFonts w:hint="default" w:ascii="Times New Roman" w:hAnsi="Times New Roman" w:eastAsia="方正黑体_GBK" w:cs="Times New Roman"/>
          <w:b w:val="0"/>
          <w:bCs w:val="0"/>
          <w:sz w:val="32"/>
          <w:szCs w:val="32"/>
          <w:lang w:val="en-US" w:eastAsia="zh-CN"/>
        </w:rPr>
        <w:t>第三章 形式与需求</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402490F0">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183" w:name="_Toc4603"/>
      <w:bookmarkStart w:id="184" w:name="_Toc24800"/>
      <w:bookmarkStart w:id="185" w:name="_Toc27388"/>
      <w:bookmarkStart w:id="186" w:name="_Toc13126"/>
      <w:bookmarkStart w:id="187" w:name="_Toc218434150"/>
      <w:bookmarkStart w:id="188" w:name="_Toc26984"/>
      <w:bookmarkStart w:id="189" w:name="_Toc26453"/>
      <w:bookmarkStart w:id="190" w:name="_Toc25735"/>
      <w:bookmarkStart w:id="191" w:name="_Toc8849"/>
      <w:bookmarkStart w:id="192" w:name="_Toc24787"/>
      <w:bookmarkStart w:id="193" w:name="_Toc8391"/>
      <w:bookmarkStart w:id="194" w:name="_Toc9039"/>
      <w:bookmarkStart w:id="195" w:name="_Toc21983"/>
      <w:bookmarkStart w:id="196" w:name="_Toc5399"/>
      <w:bookmarkStart w:id="197" w:name="_Toc30539"/>
      <w:bookmarkStart w:id="198" w:name="_Toc196403170"/>
      <w:bookmarkStart w:id="199" w:name="_Toc16554"/>
      <w:bookmarkStart w:id="200" w:name="_Toc5832"/>
      <w:r>
        <w:rPr>
          <w:rFonts w:hint="default" w:ascii="方正黑体_GBK" w:hAnsi="方正黑体_GBK" w:eastAsia="方正黑体_GBK" w:cs="方正黑体_GBK"/>
          <w:b w:val="0"/>
          <w:bCs w:val="0"/>
          <w:sz w:val="32"/>
          <w:szCs w:val="32"/>
          <w:lang w:val="en-US" w:eastAsia="zh-CN"/>
        </w:rPr>
        <w:t>一、发展形势</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09369B19">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default"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val="en-US" w:eastAsia="zh-CN"/>
        </w:rPr>
        <w:t>一</w:t>
      </w:r>
      <w:r>
        <w:rPr>
          <w:rFonts w:hint="default" w:ascii="方正楷体简体" w:hAnsi="方正楷体简体" w:eastAsia="方正楷体简体" w:cs="方正楷体简体"/>
          <w:b w:val="0"/>
          <w:bCs/>
          <w:sz w:val="32"/>
          <w:szCs w:val="32"/>
          <w:lang w:eastAsia="zh-CN"/>
        </w:rPr>
        <w:t>）国家重大战略叠加增效，</w:t>
      </w:r>
      <w:bookmarkStart w:id="201" w:name="OLE_LINK1"/>
      <w:r>
        <w:rPr>
          <w:rFonts w:hint="default" w:ascii="方正楷体简体" w:hAnsi="方正楷体简体" w:eastAsia="方正楷体简体" w:cs="方正楷体简体"/>
          <w:b w:val="0"/>
          <w:bCs/>
          <w:sz w:val="32"/>
          <w:szCs w:val="32"/>
          <w:lang w:eastAsia="zh-CN"/>
        </w:rPr>
        <w:t>给住房发展带来动力</w:t>
      </w:r>
      <w:bookmarkEnd w:id="201"/>
    </w:p>
    <w:p w14:paraId="495BF287">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b w:val="0"/>
          <w:sz w:val="32"/>
          <w:szCs w:val="32"/>
          <w:lang w:eastAsia="zh-CN"/>
        </w:rPr>
        <w:t>“十五五”时期</w:t>
      </w:r>
      <w:r>
        <w:rPr>
          <w:rFonts w:hint="default" w:ascii="Times New Roman" w:hAnsi="Times New Roman" w:eastAsia="方正仿宋简体" w:cs="Times New Roman"/>
          <w:sz w:val="32"/>
          <w:szCs w:val="32"/>
        </w:rPr>
        <w:t>，随着国家西部大开发、“</w:t>
      </w:r>
      <w:bookmarkStart w:id="202" w:name="OLE_LINK3"/>
      <w:r>
        <w:rPr>
          <w:rFonts w:hint="default" w:ascii="Times New Roman" w:hAnsi="Times New Roman" w:eastAsia="方正仿宋简体" w:cs="Times New Roman"/>
          <w:sz w:val="32"/>
          <w:szCs w:val="32"/>
        </w:rPr>
        <w:t>一带一路</w:t>
      </w:r>
      <w:bookmarkEnd w:id="202"/>
      <w:r>
        <w:rPr>
          <w:rFonts w:hint="default" w:ascii="Times New Roman" w:hAnsi="Times New Roman" w:eastAsia="方正仿宋简体" w:cs="Times New Roman"/>
          <w:sz w:val="32"/>
          <w:szCs w:val="32"/>
        </w:rPr>
        <w:t>”、</w:t>
      </w:r>
      <w:bookmarkStart w:id="203" w:name="OLE_LINK2"/>
      <w:r>
        <w:rPr>
          <w:rFonts w:hint="default" w:ascii="Times New Roman" w:hAnsi="Times New Roman" w:eastAsia="方正仿宋简体" w:cs="Times New Roman"/>
          <w:sz w:val="32"/>
          <w:szCs w:val="32"/>
        </w:rPr>
        <w:t>三基地一通道</w:t>
      </w:r>
      <w:bookmarkEnd w:id="203"/>
      <w:r>
        <w:rPr>
          <w:rFonts w:hint="default" w:ascii="Times New Roman" w:hAnsi="Times New Roman" w:eastAsia="方正仿宋简体" w:cs="Times New Roman"/>
          <w:sz w:val="32"/>
          <w:szCs w:val="32"/>
        </w:rPr>
        <w:t>等国家战略深入实施，师市经济社会将持续向好发展，预计到</w:t>
      </w:r>
      <w:bookmarkStart w:id="204" w:name="OLE_LINK4"/>
      <w:r>
        <w:rPr>
          <w:rFonts w:hint="default" w:ascii="Times New Roman" w:hAnsi="Times New Roman" w:eastAsia="方正仿宋简体" w:cs="Times New Roman"/>
          <w:sz w:val="32"/>
          <w:szCs w:val="32"/>
        </w:rPr>
        <w:t>2030年，师市综合经济实力实现晋位赶超，跻身兵团发展第一梯队，</w:t>
      </w:r>
      <w:r>
        <w:rPr>
          <w:rFonts w:hint="default" w:ascii="Times New Roman" w:hAnsi="Times New Roman" w:eastAsia="方正仿宋简体" w:cs="Times New Roman"/>
          <w:sz w:val="32"/>
          <w:szCs w:val="32"/>
          <w:highlight w:val="none"/>
          <w:lang w:eastAsia="zh-CN"/>
        </w:rPr>
        <w:t>人口将</w:t>
      </w:r>
      <w:r>
        <w:rPr>
          <w:rFonts w:hint="default" w:ascii="Times New Roman" w:hAnsi="Times New Roman" w:eastAsia="方正仿宋简体" w:cs="Times New Roman"/>
          <w:sz w:val="32"/>
          <w:szCs w:val="32"/>
          <w:highlight w:val="none"/>
          <w:lang w:val="en-US" w:eastAsia="zh-CN"/>
        </w:rPr>
        <w:t>显著增加</w:t>
      </w:r>
      <w:r>
        <w:rPr>
          <w:rFonts w:hint="default" w:ascii="Times New Roman" w:hAnsi="Times New Roman" w:eastAsia="方正仿宋简体" w:cs="Times New Roman"/>
          <w:sz w:val="32"/>
          <w:szCs w:val="32"/>
          <w:highlight w:val="none"/>
          <w:lang w:eastAsia="zh-CN"/>
        </w:rPr>
        <w:t>，</w:t>
      </w:r>
      <w:r>
        <w:rPr>
          <w:rFonts w:hint="default" w:ascii="Times New Roman" w:hAnsi="Times New Roman" w:eastAsia="方正仿宋简体" w:cs="Times New Roman"/>
          <w:sz w:val="32"/>
          <w:szCs w:val="32"/>
          <w:highlight w:val="none"/>
          <w:lang w:val="en-US" w:eastAsia="zh-CN"/>
        </w:rPr>
        <w:t>为“十五五”住房发展带来动力。</w:t>
      </w:r>
      <w:bookmarkEnd w:id="204"/>
    </w:p>
    <w:p w14:paraId="74803727">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val="en-US" w:eastAsia="zh-CN"/>
        </w:rPr>
      </w:pPr>
      <w:bookmarkStart w:id="205" w:name="_Toc30551"/>
      <w:bookmarkStart w:id="206" w:name="_Toc30548"/>
      <w:bookmarkStart w:id="207" w:name="_Toc11198"/>
      <w:r>
        <w:rPr>
          <w:rFonts w:hint="default" w:ascii="方正楷体简体" w:hAnsi="方正楷体简体" w:eastAsia="方正楷体简体" w:cs="方正楷体简体"/>
          <w:b w:val="0"/>
          <w:bCs/>
          <w:sz w:val="32"/>
          <w:szCs w:val="32"/>
          <w:lang w:val="en-US" w:eastAsia="zh-CN"/>
        </w:rPr>
        <w:t>（二）国家、兵团制定的政策意见给住房发展提供了指引</w:t>
      </w:r>
    </w:p>
    <w:p w14:paraId="26DC0F8A">
      <w:pPr>
        <w:keepNext w:val="0"/>
        <w:keepLines w:val="0"/>
        <w:pageBreakBefore w:val="0"/>
        <w:widowControl w:val="0"/>
        <w:kinsoku/>
        <w:wordWrap/>
        <w:overflowPunct/>
        <w:topLinePunct w:val="0"/>
        <w:bidi w:val="0"/>
        <w:snapToGrid/>
        <w:spacing w:line="560" w:lineRule="exact"/>
        <w:ind w:firstLine="561"/>
        <w:textAlignment w:val="auto"/>
        <w:rPr>
          <w:rFonts w:hint="default" w:ascii="Times New Roman" w:hAnsi="Times New Roman" w:eastAsia="方正仿宋简体" w:cs="Times New Roman"/>
          <w:b w:val="0"/>
          <w:bCs w:val="0"/>
          <w:color w:val="000000" w:themeColor="text1"/>
          <w:sz w:val="32"/>
          <w:szCs w:val="32"/>
          <w:lang w:val="en-US" w:eastAsia="zh-CN"/>
          <w14:textFill>
            <w14:solidFill>
              <w14:schemeClr w14:val="tx1"/>
            </w14:solidFill>
          </w14:textFill>
        </w:rPr>
      </w:pPr>
      <w:r>
        <w:rPr>
          <w:rFonts w:hint="default" w:ascii="Times New Roman" w:hAnsi="Times New Roman" w:eastAsia="方正仿宋简体" w:cs="Times New Roman"/>
          <w:b w:val="0"/>
          <w:color w:val="000000" w:themeColor="text1"/>
          <w:kern w:val="2"/>
          <w:sz w:val="32"/>
          <w:szCs w:val="32"/>
          <w:lang w:val="en-US" w:eastAsia="zh-CN" w:bidi="ar-SA"/>
          <w14:textFill>
            <w14:solidFill>
              <w14:schemeClr w14:val="tx1"/>
            </w14:solidFill>
          </w14:textFill>
        </w:rPr>
        <w:t>国家、兵团先后制定了有关住房发展的一系列政策、意见。为推动住房市场平稳健康发展、完善住房保障体系以及提升住房品质提供了理论支撑。</w:t>
      </w:r>
      <w:bookmarkEnd w:id="205"/>
      <w:bookmarkEnd w:id="206"/>
      <w:bookmarkEnd w:id="207"/>
    </w:p>
    <w:p w14:paraId="6261A02F">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bookmarkStart w:id="208" w:name="OLE_LINK5"/>
      <w:r>
        <w:rPr>
          <w:rFonts w:hint="eastAsia" w:ascii="方正楷体简体" w:hAnsi="方正楷体简体" w:eastAsia="方正楷体简体" w:cs="方正楷体简体"/>
          <w:b w:val="0"/>
          <w:bCs/>
          <w:sz w:val="32"/>
          <w:szCs w:val="32"/>
          <w:lang w:eastAsia="zh-CN"/>
        </w:rPr>
        <w:t>（</w:t>
      </w:r>
      <w:r>
        <w:rPr>
          <w:rFonts w:hint="eastAsia" w:ascii="方正楷体简体" w:hAnsi="方正楷体简体" w:eastAsia="方正楷体简体" w:cs="方正楷体简体"/>
          <w:b w:val="0"/>
          <w:bCs/>
          <w:sz w:val="32"/>
          <w:szCs w:val="32"/>
          <w:lang w:val="en-US" w:eastAsia="zh-CN"/>
        </w:rPr>
        <w:t>三</w:t>
      </w:r>
      <w:r>
        <w:rPr>
          <w:rFonts w:hint="eastAsia"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eastAsia="zh-CN"/>
        </w:rPr>
        <w:t>健全</w:t>
      </w:r>
      <w:r>
        <w:rPr>
          <w:rFonts w:hint="default" w:ascii="方正楷体简体" w:hAnsi="方正楷体简体" w:eastAsia="方正楷体简体" w:cs="方正楷体简体"/>
          <w:b w:val="0"/>
          <w:bCs/>
          <w:sz w:val="32"/>
          <w:szCs w:val="32"/>
          <w:lang w:val="en-US" w:eastAsia="zh-CN"/>
        </w:rPr>
        <w:t>城市管理机制，提升</w:t>
      </w:r>
      <w:r>
        <w:rPr>
          <w:rFonts w:hint="default" w:ascii="方正楷体简体" w:hAnsi="方正楷体简体" w:eastAsia="方正楷体简体" w:cs="方正楷体简体"/>
          <w:b w:val="0"/>
          <w:bCs/>
          <w:sz w:val="32"/>
          <w:szCs w:val="32"/>
          <w:lang w:eastAsia="zh-CN"/>
        </w:rPr>
        <w:t>城市管理</w:t>
      </w:r>
      <w:r>
        <w:rPr>
          <w:rFonts w:hint="default" w:ascii="方正楷体简体" w:hAnsi="方正楷体简体" w:eastAsia="方正楷体简体" w:cs="方正楷体简体"/>
          <w:b w:val="0"/>
          <w:bCs/>
          <w:sz w:val="32"/>
          <w:szCs w:val="32"/>
          <w:lang w:val="en-US" w:eastAsia="zh-CN"/>
        </w:rPr>
        <w:t>水平</w:t>
      </w:r>
      <w:bookmarkEnd w:id="208"/>
    </w:p>
    <w:p w14:paraId="230C259A">
      <w:pPr>
        <w:keepNext w:val="0"/>
        <w:keepLines w:val="0"/>
        <w:pageBreakBefore w:val="0"/>
        <w:numPr>
          <w:ilvl w:val="0"/>
          <w:numId w:val="0"/>
        </w:numPr>
        <w:kinsoku/>
        <w:wordWrap/>
        <w:overflowPunct/>
        <w:topLinePunct w:val="0"/>
        <w:bidi w:val="0"/>
        <w:snapToGrid/>
        <w:spacing w:line="560" w:lineRule="exact"/>
        <w:ind w:firstLine="640" w:firstLineChars="200"/>
        <w:jc w:val="left"/>
        <w:textAlignment w:val="auto"/>
        <w:rPr>
          <w:rFonts w:hint="default" w:ascii="Times New Roman" w:hAnsi="Times New Roman" w:eastAsia="方正仿宋简体" w:cs="Times New Roman"/>
          <w:color w:val="FF0000"/>
          <w:sz w:val="32"/>
          <w:szCs w:val="32"/>
        </w:rPr>
      </w:pPr>
      <w:r>
        <w:rPr>
          <w:rFonts w:hint="default" w:ascii="Times New Roman" w:hAnsi="Times New Roman" w:eastAsia="方正仿宋简体" w:cs="Times New Roman"/>
          <w:sz w:val="32"/>
          <w:szCs w:val="32"/>
          <w:lang w:val="en-US" w:eastAsia="zh-CN"/>
        </w:rPr>
        <w:t>随着</w:t>
      </w:r>
      <w:r>
        <w:rPr>
          <w:rFonts w:hint="default" w:ascii="Times New Roman" w:hAnsi="Times New Roman" w:eastAsia="方正仿宋简体" w:cs="Times New Roman"/>
          <w:sz w:val="32"/>
          <w:szCs w:val="32"/>
        </w:rPr>
        <w:t>新型城镇化深入</w:t>
      </w:r>
      <w:r>
        <w:rPr>
          <w:rFonts w:hint="default" w:ascii="Times New Roman" w:hAnsi="Times New Roman" w:eastAsia="方正仿宋简体" w:cs="Times New Roman"/>
          <w:sz w:val="32"/>
          <w:szCs w:val="32"/>
          <w:lang w:val="en-US" w:eastAsia="zh-CN"/>
        </w:rPr>
        <w:t>推进及</w:t>
      </w:r>
      <w:r>
        <w:rPr>
          <w:rFonts w:hint="default" w:ascii="Times New Roman" w:hAnsi="Times New Roman" w:eastAsia="方正仿宋简体" w:cs="Times New Roman"/>
          <w:sz w:val="32"/>
          <w:szCs w:val="32"/>
        </w:rPr>
        <w:t>群众需求升级的新形势</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原有粗放管理模式难以适配城市</w:t>
      </w:r>
      <w:r>
        <w:rPr>
          <w:rFonts w:hint="default" w:ascii="Times New Roman" w:hAnsi="Times New Roman" w:eastAsia="方正仿宋简体" w:cs="Times New Roman"/>
          <w:sz w:val="32"/>
          <w:szCs w:val="32"/>
          <w:lang w:val="en-US" w:eastAsia="zh-CN"/>
        </w:rPr>
        <w:t>提质</w:t>
      </w:r>
      <w:r>
        <w:rPr>
          <w:rFonts w:hint="default" w:ascii="Times New Roman" w:hAnsi="Times New Roman" w:eastAsia="方正仿宋简体" w:cs="Times New Roman"/>
          <w:sz w:val="32"/>
          <w:szCs w:val="32"/>
        </w:rPr>
        <w:t>需求，必须推进精细化城市管理，加强城市综合执法，深化</w:t>
      </w:r>
      <w:r>
        <w:rPr>
          <w:rFonts w:hint="default" w:ascii="Times New Roman" w:hAnsi="Times New Roman" w:eastAsia="方正仿宋简体" w:cs="Times New Roman"/>
          <w:sz w:val="32"/>
          <w:szCs w:val="32"/>
          <w:lang w:val="en-US" w:eastAsia="zh-CN"/>
        </w:rPr>
        <w:t>师</w:t>
      </w:r>
      <w:r>
        <w:rPr>
          <w:rFonts w:hint="default" w:ascii="Times New Roman" w:hAnsi="Times New Roman" w:eastAsia="方正仿宋简体" w:cs="Times New Roman"/>
          <w:sz w:val="32"/>
          <w:szCs w:val="32"/>
        </w:rPr>
        <w:t>市、团场、连队三级管理模式。整治市容市貌、交通、</w:t>
      </w:r>
      <w:r>
        <w:rPr>
          <w:rFonts w:hint="default" w:ascii="Times New Roman" w:hAnsi="Times New Roman" w:eastAsia="方正仿宋简体" w:cs="Times New Roman"/>
          <w:sz w:val="32"/>
          <w:szCs w:val="32"/>
          <w:lang w:val="en-US" w:eastAsia="zh-CN"/>
        </w:rPr>
        <w:t>安全保障、绿化休闲、</w:t>
      </w:r>
      <w:r>
        <w:rPr>
          <w:rFonts w:hint="default" w:ascii="Times New Roman" w:hAnsi="Times New Roman" w:eastAsia="方正仿宋简体" w:cs="Times New Roman"/>
          <w:sz w:val="32"/>
          <w:szCs w:val="32"/>
        </w:rPr>
        <w:t>公共服务等问题，提</w:t>
      </w:r>
      <w:r>
        <w:rPr>
          <w:rFonts w:hint="default" w:ascii="Times New Roman" w:hAnsi="Times New Roman" w:eastAsia="方正仿宋简体" w:cs="Times New Roman"/>
          <w:sz w:val="32"/>
          <w:szCs w:val="32"/>
          <w:lang w:val="en-US" w:eastAsia="zh-CN"/>
        </w:rPr>
        <w:t>升城市整体形象</w:t>
      </w:r>
      <w:r>
        <w:rPr>
          <w:rFonts w:hint="default" w:ascii="Times New Roman" w:hAnsi="Times New Roman" w:eastAsia="方正仿宋简体" w:cs="Times New Roman"/>
          <w:sz w:val="32"/>
          <w:szCs w:val="32"/>
        </w:rPr>
        <w:t>。</w:t>
      </w:r>
    </w:p>
    <w:p w14:paraId="3F166997">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default"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val="en-US" w:eastAsia="zh-CN"/>
        </w:rPr>
        <w:t>四</w:t>
      </w:r>
      <w:r>
        <w:rPr>
          <w:rFonts w:hint="default" w:ascii="方正楷体简体" w:hAnsi="方正楷体简体" w:eastAsia="方正楷体简体" w:cs="方正楷体简体"/>
          <w:b w:val="0"/>
          <w:bCs/>
          <w:sz w:val="32"/>
          <w:szCs w:val="32"/>
          <w:lang w:eastAsia="zh-CN"/>
        </w:rPr>
        <w:t>）锚定城市总体定位，促进人口向中心城区集中</w:t>
      </w:r>
    </w:p>
    <w:p w14:paraId="3B9C6844">
      <w:pPr>
        <w:keepNext w:val="0"/>
        <w:keepLines w:val="0"/>
        <w:pageBreakBefore w:val="0"/>
        <w:kinsoku/>
        <w:wordWrap/>
        <w:overflowPunct/>
        <w:topLinePunct w:val="0"/>
        <w:bidi w:val="0"/>
        <w:snapToGrid/>
        <w:spacing w:line="560" w:lineRule="exact"/>
        <w:ind w:firstLine="627" w:firstLineChars="196"/>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color w:val="000000" w:themeColor="text1"/>
          <w:sz w:val="32"/>
          <w:szCs w:val="32"/>
          <w14:textFill>
            <w14:solidFill>
              <w14:schemeClr w14:val="tx1"/>
            </w14:solidFill>
          </w14:textFill>
        </w:rPr>
        <w:t>目前各团镇地理空间布局较分散，人口数量分布相对均衡，资源利用效率较低，城市公共服务成本较高，未来将促进资源、人口向中心城区聚集，加快中心城区的建设时序。</w:t>
      </w:r>
    </w:p>
    <w:p w14:paraId="7119232A">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bookmarkStart w:id="209" w:name="OLE_LINK6"/>
      <w:r>
        <w:rPr>
          <w:rFonts w:hint="default"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val="en-US" w:eastAsia="zh-CN"/>
        </w:rPr>
        <w:t>五</w:t>
      </w:r>
      <w:r>
        <w:rPr>
          <w:rFonts w:hint="default" w:ascii="方正楷体简体" w:hAnsi="方正楷体简体" w:eastAsia="方正楷体简体" w:cs="方正楷体简体"/>
          <w:b w:val="0"/>
          <w:bCs/>
          <w:sz w:val="32"/>
          <w:szCs w:val="32"/>
          <w:lang w:eastAsia="zh-CN"/>
        </w:rPr>
        <w:t>）适应住房新形势发展趋势，构建高品质住房体系</w:t>
      </w:r>
      <w:bookmarkEnd w:id="209"/>
    </w:p>
    <w:p w14:paraId="04C938DC">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14:textFill>
            <w14:solidFill>
              <w14:schemeClr w14:val="tx1"/>
            </w14:solidFill>
          </w14:textFill>
        </w:rPr>
      </w:pP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住房发展的主要矛盾从总量短缺转为结构性供给不足，住房发展的主要目标从增加供给转为优化结构、提升质量。“十五五”时期，亟须锚定新目标、围绕解决新问题，构建房地产发展新模式。</w:t>
      </w:r>
      <w:bookmarkStart w:id="210" w:name="OLE_LINK7"/>
    </w:p>
    <w:p w14:paraId="3CB7CDE7">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default" w:ascii="方正楷体简体" w:hAnsi="方正楷体简体" w:eastAsia="方正楷体简体" w:cs="方正楷体简体"/>
          <w:b w:val="0"/>
          <w:bCs/>
          <w:sz w:val="32"/>
          <w:szCs w:val="32"/>
          <w:lang w:val="en-US" w:eastAsia="zh-CN"/>
        </w:rPr>
        <w:t>（六）</w:t>
      </w:r>
      <w:r>
        <w:rPr>
          <w:rFonts w:hint="default" w:ascii="方正楷体简体" w:hAnsi="方正楷体简体" w:eastAsia="方正楷体简体" w:cs="方正楷体简体"/>
          <w:b w:val="0"/>
          <w:bCs/>
          <w:sz w:val="32"/>
          <w:szCs w:val="32"/>
          <w:lang w:eastAsia="zh-CN"/>
        </w:rPr>
        <w:t>人口老龄化加速，养老住房及设施的需求逐步扩大</w:t>
      </w:r>
    </w:p>
    <w:p w14:paraId="55AA0C9F">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lang w:eastAsia="zh-CN"/>
          <w14:textFill>
            <w14:solidFill>
              <w14:schemeClr w14:val="tx1"/>
            </w14:solidFill>
          </w14:textFill>
        </w:rPr>
      </w:pP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师市人口老龄化加速，且高龄化趋势越发明显，人民群众对养老服务的品质、效率、便利性、均等化的要求和预期不断提高。</w:t>
      </w:r>
      <w:bookmarkEnd w:id="210"/>
    </w:p>
    <w:p w14:paraId="1CBD014E">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211" w:name="_Toc12516"/>
      <w:bookmarkStart w:id="212" w:name="_Toc20118"/>
      <w:bookmarkStart w:id="213" w:name="_Toc13625"/>
      <w:bookmarkStart w:id="214" w:name="_Toc28431"/>
      <w:bookmarkStart w:id="215" w:name="_Toc196403171"/>
      <w:bookmarkStart w:id="216" w:name="_Toc16273"/>
      <w:bookmarkStart w:id="217" w:name="_Toc16911"/>
      <w:bookmarkStart w:id="218" w:name="_Toc30057"/>
      <w:bookmarkStart w:id="219" w:name="_Toc18887"/>
      <w:bookmarkStart w:id="220" w:name="_Toc3320"/>
      <w:bookmarkStart w:id="221" w:name="_Toc15740"/>
      <w:bookmarkStart w:id="222" w:name="_Toc27566"/>
      <w:bookmarkStart w:id="223" w:name="_Toc26116"/>
      <w:bookmarkStart w:id="224" w:name="_Toc9278"/>
      <w:bookmarkStart w:id="225" w:name="_Toc2591"/>
      <w:bookmarkStart w:id="226" w:name="_Toc13471"/>
      <w:bookmarkStart w:id="227" w:name="_Toc218434151"/>
      <w:bookmarkStart w:id="228" w:name="_Toc21973"/>
      <w:r>
        <w:rPr>
          <w:rFonts w:hint="eastAsia" w:ascii="方正黑体_GBK" w:hAnsi="方正黑体_GBK" w:eastAsia="方正黑体_GBK" w:cs="方正黑体_GBK"/>
          <w:b w:val="0"/>
          <w:bCs w:val="0"/>
          <w:sz w:val="32"/>
          <w:szCs w:val="32"/>
          <w:lang w:val="en-US" w:eastAsia="zh-CN"/>
        </w:rPr>
        <w:t>二、</w:t>
      </w:r>
      <w:r>
        <w:rPr>
          <w:rFonts w:hint="default" w:ascii="方正黑体_GBK" w:hAnsi="方正黑体_GBK" w:eastAsia="方正黑体_GBK" w:cs="方正黑体_GBK"/>
          <w:b w:val="0"/>
          <w:bCs w:val="0"/>
          <w:sz w:val="32"/>
          <w:szCs w:val="32"/>
          <w:lang w:val="en-US" w:eastAsia="zh-CN"/>
        </w:rPr>
        <w:t>需求分析</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431D3A06">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default"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val="en-US" w:eastAsia="zh-CN"/>
        </w:rPr>
        <w:t>一</w:t>
      </w:r>
      <w:r>
        <w:rPr>
          <w:rFonts w:hint="default" w:ascii="方正楷体简体" w:hAnsi="方正楷体简体" w:eastAsia="方正楷体简体" w:cs="方正楷体简体"/>
          <w:b w:val="0"/>
          <w:bCs/>
          <w:sz w:val="32"/>
          <w:szCs w:val="32"/>
          <w:lang w:eastAsia="zh-CN"/>
        </w:rPr>
        <w:t>）住房需求呈现多元化并存的发展特征</w:t>
      </w:r>
    </w:p>
    <w:p w14:paraId="34280BE5">
      <w:pPr>
        <w:keepNext w:val="0"/>
        <w:keepLines w:val="0"/>
        <w:pageBreakBefore w:val="0"/>
        <w:numPr>
          <w:ilvl w:val="0"/>
          <w:numId w:val="0"/>
        </w:numPr>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pP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“十五五”期间，师市住房需求以改善型为主</w:t>
      </w:r>
      <w:r>
        <w:rPr>
          <w:rFonts w:hint="eastAsia" w:eastAsia="方正仿宋简体" w:cs="Times New Roman"/>
          <w:color w:val="000000" w:themeColor="text1"/>
          <w:sz w:val="32"/>
          <w:szCs w:val="32"/>
          <w:lang w:val="en-US"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刚性需求稳步增长</w:t>
      </w:r>
      <w:r>
        <w:rPr>
          <w:rFonts w:hint="eastAsia" w:eastAsia="方正仿宋简体" w:cs="Times New Roman"/>
          <w:color w:val="000000" w:themeColor="text1"/>
          <w:sz w:val="32"/>
          <w:szCs w:val="32"/>
          <w:lang w:val="en-US"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保障房托底民生。低收入群体仍主要依靠保障性住房；人口老龄化加剧，适老化住房及养老配套需求上升；产业发展带动外来人口流入，租赁住房成为市场重要供给</w:t>
      </w:r>
    </w:p>
    <w:p w14:paraId="387E20A1">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default" w:ascii="方正楷体简体" w:hAnsi="方正楷体简体" w:eastAsia="方正楷体简体" w:cs="方正楷体简体"/>
          <w:b w:val="0"/>
          <w:bCs/>
          <w:sz w:val="32"/>
          <w:szCs w:val="32"/>
          <w:lang w:eastAsia="zh-CN"/>
        </w:rPr>
        <w:t>（</w:t>
      </w:r>
      <w:r>
        <w:rPr>
          <w:rFonts w:hint="default" w:ascii="方正楷体简体" w:hAnsi="方正楷体简体" w:eastAsia="方正楷体简体" w:cs="方正楷体简体"/>
          <w:b w:val="0"/>
          <w:bCs/>
          <w:sz w:val="32"/>
          <w:szCs w:val="32"/>
          <w:lang w:val="en-US" w:eastAsia="zh-CN"/>
        </w:rPr>
        <w:t>二</w:t>
      </w:r>
      <w:r>
        <w:rPr>
          <w:rFonts w:hint="default" w:ascii="方正楷体简体" w:hAnsi="方正楷体简体" w:eastAsia="方正楷体简体" w:cs="方正楷体简体"/>
          <w:b w:val="0"/>
          <w:bCs/>
          <w:sz w:val="32"/>
          <w:szCs w:val="32"/>
          <w:lang w:eastAsia="zh-CN"/>
        </w:rPr>
        <w:t>）人口预测</w:t>
      </w:r>
    </w:p>
    <w:p w14:paraId="6426697F">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pP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根据“十四五”时期经济、人口数据，结合各团场</w:t>
      </w:r>
      <w:r>
        <w:rPr>
          <w:rFonts w:hint="default" w:ascii="Times New Roman" w:hAnsi="Times New Roman" w:eastAsia="方正仿宋简体" w:cs="Times New Roman"/>
          <w:sz w:val="32"/>
          <w:szCs w:val="32"/>
          <w:lang w:val="en-US" w:eastAsia="zh-CN"/>
        </w:rPr>
        <w:t>国民经济和社会发展规划</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及当前项目引入情况，预测各团场人口数据。</w:t>
      </w:r>
    </w:p>
    <w:p w14:paraId="1881739A">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val="en-US" w:eastAsia="zh-CN"/>
        </w:rPr>
      </w:pPr>
      <w:r>
        <w:rPr>
          <w:rFonts w:hint="default" w:ascii="方正楷体简体" w:hAnsi="方正楷体简体" w:eastAsia="方正楷体简体" w:cs="方正楷体简体"/>
          <w:b w:val="0"/>
          <w:bCs/>
          <w:sz w:val="32"/>
          <w:szCs w:val="32"/>
          <w:lang w:val="en-US" w:eastAsia="zh-CN"/>
        </w:rPr>
        <w:t>（三）商品住房与保障性住房需求总量预测</w:t>
      </w:r>
    </w:p>
    <w:p w14:paraId="700509CB">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pP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根据预测人口增量数据，按套均住房人口历史数据测算理论住房需求套数，再减去空置住房套数、在建住房套数及未分配、未销售住房套数，得到住房需求套数；根据团场保障性住房调研数据，结合空置保障房情况及产业发展计划，按需预测保障性住房数据。</w:t>
      </w:r>
    </w:p>
    <w:p w14:paraId="4D337DB4">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val="en-US" w:eastAsia="zh-CN"/>
        </w:rPr>
      </w:pPr>
      <w:r>
        <w:rPr>
          <w:rFonts w:hint="eastAsia" w:ascii="方正楷体简体" w:hAnsi="方正楷体简体" w:eastAsia="方正楷体简体" w:cs="方正楷体简体"/>
          <w:b w:val="0"/>
          <w:bCs/>
          <w:sz w:val="32"/>
          <w:szCs w:val="32"/>
          <w:lang w:val="en-US" w:eastAsia="zh-CN"/>
        </w:rPr>
        <w:t>（四）</w:t>
      </w:r>
      <w:r>
        <w:rPr>
          <w:rFonts w:hint="default" w:ascii="方正楷体简体" w:hAnsi="方正楷体简体" w:eastAsia="方正楷体简体" w:cs="方正楷体简体"/>
          <w:b w:val="0"/>
          <w:bCs/>
          <w:sz w:val="32"/>
          <w:szCs w:val="32"/>
          <w:lang w:val="en-US" w:eastAsia="zh-CN"/>
        </w:rPr>
        <w:t>“一老一小”设施需求</w:t>
      </w:r>
    </w:p>
    <w:p w14:paraId="272F8620">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pP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“十五五”期间，老年人口持续增多，依托师市、团镇、连队治理体系，社区日间照料中心、连队养老服务站点将成为养老服务主要载体；双职工及年轻育儿家庭增多，托育服务需求持续上涨。</w:t>
      </w:r>
    </w:p>
    <w:p w14:paraId="1D593AF4">
      <w:pPr>
        <w:keepNext w:val="0"/>
        <w:keepLines w:val="0"/>
        <w:pageBreakBefore w:val="0"/>
        <w:kinsoku/>
        <w:wordWrap/>
        <w:overflowPunct/>
        <w:topLinePunct w:val="0"/>
        <w:bidi w:val="0"/>
        <w:snapToGrid/>
        <w:spacing w:line="560" w:lineRule="exact"/>
        <w:jc w:val="center"/>
        <w:textAlignment w:val="auto"/>
        <w:rPr>
          <w:rFonts w:hint="default" w:ascii="Times New Roman" w:hAnsi="Times New Roman" w:eastAsia="方正黑体_GBK" w:cs="Times New Roman"/>
          <w:b w:val="0"/>
          <w:bCs w:val="0"/>
          <w:sz w:val="32"/>
          <w:szCs w:val="32"/>
          <w:lang w:val="en-US" w:eastAsia="zh-CN"/>
        </w:rPr>
      </w:pPr>
      <w:bookmarkStart w:id="229" w:name="_Toc26276"/>
      <w:bookmarkStart w:id="230" w:name="_Toc12618"/>
      <w:bookmarkStart w:id="231" w:name="_Toc24986"/>
      <w:bookmarkStart w:id="232" w:name="_Toc24532"/>
      <w:bookmarkStart w:id="233" w:name="_Toc8867"/>
      <w:bookmarkStart w:id="234" w:name="_Toc22487"/>
      <w:bookmarkStart w:id="235" w:name="_Toc10753"/>
      <w:bookmarkStart w:id="236" w:name="_Toc19766"/>
      <w:bookmarkStart w:id="237" w:name="_Toc2002"/>
      <w:bookmarkStart w:id="238" w:name="_Toc23369"/>
      <w:bookmarkStart w:id="239" w:name="_Toc27745"/>
      <w:bookmarkStart w:id="240" w:name="_Toc10396"/>
      <w:bookmarkStart w:id="241" w:name="_Toc23950"/>
      <w:bookmarkStart w:id="242" w:name="_Toc196403172"/>
      <w:bookmarkStart w:id="243" w:name="_Toc17752"/>
      <w:bookmarkStart w:id="244" w:name="_Toc2812"/>
      <w:bookmarkStart w:id="245" w:name="_Toc128"/>
      <w:bookmarkStart w:id="246" w:name="_Toc218434152"/>
      <w:r>
        <w:rPr>
          <w:rFonts w:hint="default" w:ascii="Times New Roman" w:hAnsi="Times New Roman" w:eastAsia="方正黑体_GBK" w:cs="Times New Roman"/>
          <w:b w:val="0"/>
          <w:bCs w:val="0"/>
          <w:sz w:val="32"/>
          <w:szCs w:val="32"/>
          <w:lang w:val="en-US" w:eastAsia="zh-CN"/>
        </w:rPr>
        <w:t>第四章 指导思想和基本原则</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Start w:id="247" w:name="_Toc196403173"/>
    </w:p>
    <w:p w14:paraId="7A55C406">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248" w:name="_Toc13988"/>
      <w:bookmarkStart w:id="249" w:name="_Toc12467"/>
      <w:bookmarkStart w:id="250" w:name="_Toc1769"/>
      <w:bookmarkStart w:id="251" w:name="_Toc17530"/>
      <w:bookmarkStart w:id="252" w:name="_Toc7750"/>
      <w:bookmarkStart w:id="253" w:name="_Toc17387"/>
      <w:bookmarkStart w:id="254" w:name="_Toc13177"/>
      <w:bookmarkStart w:id="255" w:name="_Toc1073"/>
      <w:bookmarkStart w:id="256" w:name="_Toc11305"/>
      <w:bookmarkStart w:id="257" w:name="_Toc32010"/>
      <w:bookmarkStart w:id="258" w:name="_Toc21107"/>
      <w:bookmarkStart w:id="259" w:name="_Toc19130"/>
      <w:bookmarkStart w:id="260" w:name="_Toc10635"/>
      <w:bookmarkStart w:id="261" w:name="_Toc15596"/>
      <w:bookmarkStart w:id="262" w:name="_Toc20342"/>
      <w:bookmarkStart w:id="263" w:name="_Toc218434153"/>
      <w:bookmarkStart w:id="264" w:name="_Toc31590"/>
      <w:r>
        <w:rPr>
          <w:rFonts w:hint="default" w:ascii="方正黑体_GBK" w:hAnsi="方正黑体_GBK" w:eastAsia="方正黑体_GBK" w:cs="方正黑体_GBK"/>
          <w:b w:val="0"/>
          <w:bCs w:val="0"/>
          <w:sz w:val="32"/>
          <w:szCs w:val="32"/>
          <w:lang w:val="en-US" w:eastAsia="zh-CN"/>
        </w:rPr>
        <w:t>一、指导思想</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1A33EE6A">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Times New Roman" w:hAnsi="Times New Roman" w:eastAsia="方正仿宋简体" w:cs="Times New Roman"/>
          <w:color w:val="000000" w:themeColor="text1"/>
          <w:sz w:val="32"/>
          <w:szCs w:val="32"/>
          <w14:textFill>
            <w14:solidFill>
              <w14:schemeClr w14:val="tx1"/>
            </w14:solidFill>
          </w14:textFill>
        </w:rPr>
      </w:pP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准确把握师市城市住房建设事业发展阶段特征，</w:t>
      </w:r>
      <w:r>
        <w:rPr>
          <w:rFonts w:hint="default" w:ascii="Times New Roman" w:hAnsi="Times New Roman" w:eastAsia="方正仿宋简体" w:cs="Times New Roman"/>
          <w:color w:val="000000" w:themeColor="text1"/>
          <w:sz w:val="32"/>
          <w:szCs w:val="32"/>
          <w14:textFill>
            <w14:solidFill>
              <w14:schemeClr w14:val="tx1"/>
            </w14:solidFill>
          </w14:textFill>
        </w:rPr>
        <w:t>坚持以人民为中心的发展思想，始终恪守“人民城市为人民”的根本宗旨，聚焦群众“住有优居、居有品质、职住平衡”的核心需求，坚持房子的居住属性，坚持建设</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安全舒适绿色智慧的“好房子”</w:t>
      </w:r>
      <w:r>
        <w:rPr>
          <w:rFonts w:hint="default" w:ascii="Times New Roman" w:hAnsi="Times New Roman" w:eastAsia="方正仿宋简体" w:cs="Times New Roman"/>
          <w:color w:val="000000" w:themeColor="text1"/>
          <w:sz w:val="32"/>
          <w:szCs w:val="32"/>
          <w14:textFill>
            <w14:solidFill>
              <w14:schemeClr w14:val="tx1"/>
            </w14:solidFill>
          </w14:textFill>
        </w:rPr>
        <w:t>，加快建立以需定供、去化周期差异供地、存量土地盘活与闲置用地处置的土地供应机制，加强配套设施建设，积极鼓励社会资本参与。</w:t>
      </w:r>
      <w:r>
        <w:rPr>
          <w:rFonts w:hint="eastAsia" w:eastAsia="方正仿宋简体" w:cs="Times New Roman"/>
          <w:color w:val="000000" w:themeColor="text1"/>
          <w:sz w:val="32"/>
          <w:szCs w:val="32"/>
          <w:lang w:eastAsia="zh-CN"/>
          <w14:textFill>
            <w14:solidFill>
              <w14:schemeClr w14:val="tx1"/>
            </w14:solidFill>
          </w14:textFill>
        </w:rPr>
        <w:t>努力建立</w:t>
      </w:r>
      <w:r>
        <w:rPr>
          <w:rFonts w:hint="default" w:ascii="Times New Roman" w:hAnsi="Times New Roman" w:eastAsia="方正仿宋简体" w:cs="Times New Roman"/>
          <w:color w:val="000000" w:themeColor="text1"/>
          <w:sz w:val="32"/>
          <w:szCs w:val="32"/>
          <w14:textFill>
            <w14:solidFill>
              <w14:schemeClr w14:val="tx1"/>
            </w14:solidFill>
          </w14:textFill>
        </w:rPr>
        <w:t>人、房、地、钱的联动机制。</w:t>
      </w:r>
    </w:p>
    <w:p w14:paraId="60CA1228">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265" w:name="_Toc9386"/>
      <w:bookmarkStart w:id="266" w:name="_Toc10921"/>
      <w:bookmarkStart w:id="267" w:name="_Toc23049"/>
      <w:bookmarkStart w:id="268" w:name="_Toc27769"/>
      <w:bookmarkStart w:id="269" w:name="_Toc218434154"/>
      <w:bookmarkStart w:id="270" w:name="_Toc2954"/>
      <w:bookmarkStart w:id="271" w:name="_Toc19825"/>
      <w:bookmarkStart w:id="272" w:name="_Toc196403174"/>
      <w:bookmarkStart w:id="273" w:name="_Toc17829"/>
      <w:bookmarkStart w:id="274" w:name="_Toc28671"/>
      <w:bookmarkStart w:id="275" w:name="_Toc25652"/>
      <w:bookmarkStart w:id="276" w:name="_Toc21393"/>
      <w:bookmarkStart w:id="277" w:name="_Toc32512"/>
      <w:bookmarkStart w:id="278" w:name="_Toc27969"/>
      <w:bookmarkStart w:id="279" w:name="_Toc370"/>
      <w:bookmarkStart w:id="280" w:name="_Toc13992"/>
      <w:bookmarkStart w:id="281" w:name="_Toc30379"/>
      <w:bookmarkStart w:id="282" w:name="_Toc29473"/>
      <w:r>
        <w:rPr>
          <w:rFonts w:hint="default" w:ascii="方正黑体_GBK" w:hAnsi="方正黑体_GBK" w:eastAsia="方正黑体_GBK" w:cs="方正黑体_GBK"/>
          <w:b w:val="0"/>
          <w:bCs w:val="0"/>
          <w:sz w:val="32"/>
          <w:szCs w:val="32"/>
          <w:lang w:val="en-US" w:eastAsia="zh-CN"/>
        </w:rPr>
        <w:t>二、规划原则</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3285739B">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Times New Roman" w:hAnsi="Times New Roman" w:eastAsia="方正仿宋简体" w:cs="Times New Roman"/>
          <w:color w:val="000000" w:themeColor="text1"/>
          <w:sz w:val="32"/>
          <w:szCs w:val="32"/>
          <w14:textFill>
            <w14:solidFill>
              <w14:schemeClr w14:val="tx1"/>
            </w14:solidFill>
          </w14:textFill>
        </w:rPr>
      </w:pPr>
      <w:r>
        <w:rPr>
          <w:rFonts w:hint="default" w:ascii="Times New Roman" w:hAnsi="Times New Roman" w:eastAsia="方正仿宋简体" w:cs="Times New Roman"/>
          <w:color w:val="000000" w:themeColor="text1"/>
          <w:sz w:val="32"/>
          <w:szCs w:val="32"/>
          <w14:textFill>
            <w14:solidFill>
              <w14:schemeClr w14:val="tx1"/>
            </w14:solidFill>
          </w14:textFill>
        </w:rPr>
        <w:t>以人为本、提升质量</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统筹规划，分步实施</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生态优先、绿色发展</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兵地融合、协同发展</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因镇施策，实事求是</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市场主导，政府保障。</w:t>
      </w:r>
    </w:p>
    <w:p w14:paraId="4DB13FFC">
      <w:pPr>
        <w:keepNext w:val="0"/>
        <w:keepLines w:val="0"/>
        <w:pageBreakBefore w:val="0"/>
        <w:kinsoku/>
        <w:wordWrap/>
        <w:overflowPunct/>
        <w:topLinePunct w:val="0"/>
        <w:bidi w:val="0"/>
        <w:snapToGrid/>
        <w:spacing w:line="560" w:lineRule="exact"/>
        <w:jc w:val="center"/>
        <w:textAlignment w:val="auto"/>
        <w:rPr>
          <w:rFonts w:hint="default" w:ascii="Times New Roman" w:hAnsi="Times New Roman" w:eastAsia="方正黑体_GBK" w:cs="Times New Roman"/>
          <w:b w:val="0"/>
          <w:bCs w:val="0"/>
          <w:sz w:val="32"/>
          <w:szCs w:val="32"/>
          <w:lang w:val="en-US" w:eastAsia="zh-CN"/>
        </w:rPr>
      </w:pPr>
      <w:bookmarkStart w:id="283" w:name="_Toc960"/>
      <w:bookmarkStart w:id="284" w:name="_Toc8041"/>
      <w:bookmarkStart w:id="285" w:name="_Toc18006"/>
      <w:bookmarkStart w:id="286" w:name="_Toc31491"/>
      <w:bookmarkStart w:id="287" w:name="_Toc13269"/>
      <w:bookmarkStart w:id="288" w:name="_Toc10324"/>
      <w:bookmarkStart w:id="289" w:name="_Toc21381"/>
      <w:bookmarkStart w:id="290" w:name="_Toc27762"/>
      <w:bookmarkStart w:id="291" w:name="_Toc11469"/>
      <w:bookmarkStart w:id="292" w:name="_Toc12929"/>
      <w:bookmarkStart w:id="293" w:name="_Toc123"/>
      <w:bookmarkStart w:id="294" w:name="_Toc196403175"/>
      <w:bookmarkStart w:id="295" w:name="_Toc17934"/>
      <w:bookmarkStart w:id="296" w:name="_Toc29153"/>
      <w:bookmarkStart w:id="297" w:name="_Toc22187"/>
      <w:bookmarkStart w:id="298" w:name="_Toc19297"/>
      <w:bookmarkStart w:id="299" w:name="_Toc16432"/>
      <w:bookmarkStart w:id="300" w:name="_Toc218434155"/>
      <w:r>
        <w:rPr>
          <w:rFonts w:hint="default" w:ascii="Times New Roman" w:hAnsi="Times New Roman" w:eastAsia="方正黑体_GBK" w:cs="Times New Roman"/>
          <w:b w:val="0"/>
          <w:bCs w:val="0"/>
          <w:sz w:val="32"/>
          <w:szCs w:val="32"/>
          <w:lang w:val="en-US" w:eastAsia="zh-CN"/>
        </w:rPr>
        <w:t>第五章 发展目标</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0D01AA38">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301" w:name="_Toc27073"/>
      <w:bookmarkStart w:id="302" w:name="_Toc218434156"/>
      <w:bookmarkStart w:id="303" w:name="_Toc15615"/>
      <w:bookmarkStart w:id="304" w:name="_Toc9262"/>
      <w:bookmarkStart w:id="305" w:name="_Toc6589"/>
      <w:bookmarkStart w:id="306" w:name="_Toc23760"/>
      <w:bookmarkStart w:id="307" w:name="_Toc15393"/>
      <w:bookmarkStart w:id="308" w:name="_Toc22292"/>
      <w:bookmarkStart w:id="309" w:name="_Toc17238"/>
      <w:bookmarkStart w:id="310" w:name="_Toc22867"/>
      <w:bookmarkStart w:id="311" w:name="_Toc8746"/>
      <w:bookmarkStart w:id="312" w:name="_Toc31571"/>
      <w:bookmarkStart w:id="313" w:name="_Toc2362"/>
      <w:bookmarkStart w:id="314" w:name="_Toc12351"/>
      <w:bookmarkStart w:id="315" w:name="_Toc31176"/>
      <w:bookmarkStart w:id="316" w:name="_Toc2428"/>
      <w:bookmarkStart w:id="317" w:name="_Toc22513"/>
      <w:r>
        <w:rPr>
          <w:rFonts w:hint="default" w:ascii="方正黑体_GBK" w:hAnsi="方正黑体_GBK" w:eastAsia="方正黑体_GBK" w:cs="方正黑体_GBK"/>
          <w:b w:val="0"/>
          <w:bCs w:val="0"/>
          <w:sz w:val="32"/>
          <w:szCs w:val="32"/>
          <w:lang w:val="en-US" w:eastAsia="zh-CN"/>
        </w:rPr>
        <w:t>一、“十五五”发展目标</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408E1820">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14:textFill>
            <w14:solidFill>
              <w14:schemeClr w14:val="tx1"/>
            </w14:solidFill>
          </w14:textFill>
        </w:rPr>
      </w:pP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“十五五”时期</w:t>
      </w:r>
      <w:r>
        <w:rPr>
          <w:rFonts w:hint="default" w:ascii="Times New Roman" w:hAnsi="Times New Roman" w:eastAsia="方正仿宋简体" w:cs="Times New Roman"/>
          <w:color w:val="000000" w:themeColor="text1"/>
          <w:sz w:val="32"/>
          <w:szCs w:val="32"/>
          <w14:textFill>
            <w14:solidFill>
              <w14:schemeClr w14:val="tx1"/>
            </w14:solidFill>
          </w14:textFill>
        </w:rPr>
        <w:t>，形成“商品房</w:t>
      </w:r>
      <w:r>
        <w:rPr>
          <w:rFonts w:hint="eastAsia"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配售型保障性住房</w:t>
      </w:r>
      <w:r>
        <w:rPr>
          <w:rFonts w:hint="eastAsia" w:eastAsia="方正仿宋简体" w:cs="Times New Roman"/>
          <w:color w:val="000000" w:themeColor="text1"/>
          <w:sz w:val="32"/>
          <w:szCs w:val="32"/>
          <w:lang w:val="en-US"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保障性租赁住房</w:t>
      </w:r>
      <w:r>
        <w:rPr>
          <w:rFonts w:hint="eastAsia"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公租房”的阶梯式供应结构，覆盖不同人群需求。科学规划住房供应规模与结构，实现供</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需</w:t>
      </w:r>
      <w:r>
        <w:rPr>
          <w:rFonts w:hint="default" w:ascii="Times New Roman" w:hAnsi="Times New Roman" w:eastAsia="方正仿宋简体" w:cs="Times New Roman"/>
          <w:color w:val="000000" w:themeColor="text1"/>
          <w:sz w:val="32"/>
          <w:szCs w:val="32"/>
          <w14:textFill>
            <w14:solidFill>
              <w14:schemeClr w14:val="tx1"/>
            </w14:solidFill>
          </w14:textFill>
        </w:rPr>
        <w:t>动态平衡。构建市场与保障并举的住房格局，实现住有所居、住有宜居、职住平衡、配套完善，促使房地产市场保持平稳健康发展。</w:t>
      </w:r>
    </w:p>
    <w:p w14:paraId="266747A9">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318" w:name="_Toc18891"/>
      <w:bookmarkStart w:id="319" w:name="_Toc4522"/>
      <w:bookmarkStart w:id="320" w:name="_Toc15187"/>
      <w:bookmarkStart w:id="321" w:name="_Toc23923"/>
      <w:bookmarkStart w:id="322" w:name="_Toc26824"/>
      <w:bookmarkStart w:id="323" w:name="_Toc29419"/>
      <w:bookmarkStart w:id="324" w:name="_Toc22851"/>
      <w:bookmarkStart w:id="325" w:name="_Toc2521"/>
      <w:bookmarkStart w:id="326" w:name="_Toc28427"/>
      <w:bookmarkStart w:id="327" w:name="_Toc21724"/>
      <w:bookmarkStart w:id="328" w:name="_Toc15095"/>
      <w:bookmarkStart w:id="329" w:name="_Toc6924"/>
      <w:bookmarkStart w:id="330" w:name="_Toc218434157"/>
      <w:bookmarkStart w:id="331" w:name="_Toc31075"/>
      <w:bookmarkStart w:id="332" w:name="_Toc8024"/>
      <w:bookmarkStart w:id="333" w:name="_Toc26636"/>
      <w:bookmarkStart w:id="334" w:name="_Toc11981"/>
      <w:r>
        <w:rPr>
          <w:rFonts w:hint="default" w:ascii="方正黑体_GBK" w:hAnsi="方正黑体_GBK" w:eastAsia="方正黑体_GBK" w:cs="方正黑体_GBK"/>
          <w:b w:val="0"/>
          <w:bCs w:val="0"/>
          <w:sz w:val="32"/>
          <w:szCs w:val="32"/>
          <w:lang w:val="en-US" w:eastAsia="zh-CN"/>
        </w:rPr>
        <w:t>二、具体目标</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02A48939">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eastAsia="zh-CN"/>
        </w:rPr>
      </w:pPr>
      <w:r>
        <w:rPr>
          <w:rFonts w:hint="default" w:ascii="方正楷体简体" w:hAnsi="方正楷体简体" w:eastAsia="方正楷体简体" w:cs="方正楷体简体"/>
          <w:b w:val="0"/>
          <w:bCs/>
          <w:sz w:val="32"/>
          <w:szCs w:val="32"/>
          <w:lang w:val="en-US" w:eastAsia="zh-CN"/>
        </w:rPr>
        <w:t>（一）商品</w:t>
      </w:r>
      <w:r>
        <w:rPr>
          <w:rFonts w:hint="default" w:ascii="方正楷体简体" w:hAnsi="方正楷体简体" w:eastAsia="方正楷体简体" w:cs="方正楷体简体"/>
          <w:b w:val="0"/>
          <w:bCs/>
          <w:sz w:val="32"/>
          <w:szCs w:val="32"/>
          <w:lang w:eastAsia="zh-CN"/>
        </w:rPr>
        <w:t>住房供应目标</w:t>
      </w:r>
    </w:p>
    <w:p w14:paraId="36FA4FA3">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lang w:eastAsia="zh-CN"/>
          <w14:textFill>
            <w14:solidFill>
              <w14:schemeClr w14:val="tx1"/>
            </w14:solidFill>
          </w14:textFill>
        </w:rPr>
      </w:pPr>
      <w:r>
        <w:rPr>
          <w:rFonts w:hint="default" w:ascii="Times New Roman" w:hAnsi="Times New Roman" w:eastAsia="方正仿宋简体" w:cs="Times New Roman"/>
          <w:color w:val="000000" w:themeColor="text1"/>
          <w:sz w:val="32"/>
          <w:szCs w:val="32"/>
          <w14:textFill>
            <w14:solidFill>
              <w14:schemeClr w14:val="tx1"/>
            </w14:solidFill>
          </w14:textFill>
        </w:rPr>
        <w:t>建立“人房地钱”统筹调控机制</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商品住房供给结构适配人口结构，</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商品住房</w:t>
      </w:r>
      <w:r>
        <w:rPr>
          <w:rFonts w:hint="default" w:ascii="Times New Roman" w:hAnsi="Times New Roman" w:eastAsia="方正仿宋简体" w:cs="Times New Roman"/>
          <w:color w:val="000000" w:themeColor="text1"/>
          <w:sz w:val="32"/>
          <w:szCs w:val="32"/>
          <w14:textFill>
            <w14:solidFill>
              <w14:schemeClr w14:val="tx1"/>
            </w14:solidFill>
          </w14:textFill>
        </w:rPr>
        <w:t>回归大宗耐用消费品属性</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p>
    <w:p w14:paraId="4D5D8EA5">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val="en-US" w:eastAsia="zh-CN"/>
        </w:rPr>
      </w:pPr>
      <w:r>
        <w:rPr>
          <w:rFonts w:hint="default" w:ascii="方正楷体简体" w:hAnsi="方正楷体简体" w:eastAsia="方正楷体简体" w:cs="方正楷体简体"/>
          <w:b w:val="0"/>
          <w:bCs/>
          <w:sz w:val="32"/>
          <w:szCs w:val="32"/>
          <w:lang w:val="en-US" w:eastAsia="zh-CN"/>
        </w:rPr>
        <w:t>（二）住房保障目标</w:t>
      </w:r>
    </w:p>
    <w:p w14:paraId="30F625FB">
      <w:pPr>
        <w:keepNext w:val="0"/>
        <w:keepLines w:val="0"/>
        <w:pageBreakBefore w:val="0"/>
        <w:numPr>
          <w:ilvl w:val="0"/>
          <w:numId w:val="0"/>
        </w:numPr>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14:textFill>
            <w14:solidFill>
              <w14:schemeClr w14:val="tx1"/>
            </w14:solidFill>
          </w14:textFill>
        </w:rPr>
      </w:pP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到</w:t>
      </w:r>
      <w:r>
        <w:rPr>
          <w:rFonts w:hint="default" w:ascii="Times New Roman" w:hAnsi="Times New Roman" w:eastAsia="方正仿宋简体" w:cs="Times New Roman"/>
          <w:color w:val="000000" w:themeColor="text1"/>
          <w:sz w:val="32"/>
          <w:szCs w:val="32"/>
          <w14:textFill>
            <w14:solidFill>
              <w14:schemeClr w14:val="tx1"/>
            </w14:solidFill>
          </w14:textFill>
        </w:rPr>
        <w:t>2030年，形成较为完善的住房保障体系，实现低收入家庭保障性住房全覆盖，解决大部分新就业人员、外来务工人员、产业人才住房保障问题。</w:t>
      </w:r>
    </w:p>
    <w:p w14:paraId="4A281802">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val="en-US" w:eastAsia="zh-CN"/>
        </w:rPr>
      </w:pPr>
      <w:r>
        <w:rPr>
          <w:rFonts w:hint="default" w:ascii="方正楷体简体" w:hAnsi="方正楷体简体" w:eastAsia="方正楷体简体" w:cs="方正楷体简体"/>
          <w:b w:val="0"/>
          <w:bCs/>
          <w:sz w:val="32"/>
          <w:szCs w:val="32"/>
          <w:lang w:val="en-US" w:eastAsia="zh-CN"/>
        </w:rPr>
        <w:t>（三）住区更新与老旧小区改造目标</w:t>
      </w:r>
    </w:p>
    <w:p w14:paraId="528C863B">
      <w:pPr>
        <w:keepNext w:val="0"/>
        <w:keepLines w:val="0"/>
        <w:pageBreakBefore w:val="0"/>
        <w:numPr>
          <w:ilvl w:val="0"/>
          <w:numId w:val="0"/>
        </w:numPr>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pP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加强对城市老旧小区的综合环境整治，重点</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对消防、管线、路网、环境等问题进行治理，消除居住区安全隐患，完善公共服务配套，增加绿地空间</w:t>
      </w:r>
      <w:r>
        <w:rPr>
          <w:rFonts w:hint="eastAsia" w:eastAsia="方正仿宋简体" w:cs="Times New Roman"/>
          <w:color w:val="000000" w:themeColor="text1"/>
          <w:sz w:val="32"/>
          <w:szCs w:val="32"/>
          <w:lang w:val="en-US"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梳理地上停车位及充电设施。构建宜居单元和十五分钟生活圈，推进完整居住社区试点建设。</w:t>
      </w:r>
    </w:p>
    <w:p w14:paraId="560EE204">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val="en-US" w:eastAsia="zh-CN"/>
        </w:rPr>
      </w:pPr>
      <w:r>
        <w:rPr>
          <w:rFonts w:hint="default" w:ascii="方正楷体简体" w:hAnsi="方正楷体简体" w:eastAsia="方正楷体简体" w:cs="方正楷体简体"/>
          <w:b w:val="0"/>
          <w:bCs/>
          <w:sz w:val="32"/>
          <w:szCs w:val="32"/>
          <w:lang w:val="en-US" w:eastAsia="zh-CN"/>
        </w:rPr>
        <w:t>（四）物业管理与运维目标</w:t>
      </w:r>
    </w:p>
    <w:p w14:paraId="37715153">
      <w:pPr>
        <w:keepNext w:val="0"/>
        <w:keepLines w:val="0"/>
        <w:pageBreakBefore w:val="0"/>
        <w:numPr>
          <w:ilvl w:val="0"/>
          <w:numId w:val="0"/>
        </w:numPr>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pP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健全物业体系、提升服务品质，打造优质居住环境。依托新建小区发展智慧物业，扶持优质物业企业、清退落后企业；强化人才培训，完善物业监管与信用体系，推动业主自治、行业自律，构建党建引领多方协同的基层治理体系</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w:t>
      </w:r>
    </w:p>
    <w:p w14:paraId="0C0D9EBB">
      <w:pPr>
        <w:keepNext w:val="0"/>
        <w:keepLines w:val="0"/>
        <w:pageBreakBefore w:val="0"/>
        <w:kinsoku/>
        <w:wordWrap/>
        <w:overflowPunct/>
        <w:topLinePunct w:val="0"/>
        <w:bidi w:val="0"/>
        <w:snapToGrid/>
        <w:spacing w:line="560" w:lineRule="exact"/>
        <w:jc w:val="center"/>
        <w:textAlignment w:val="auto"/>
        <w:rPr>
          <w:rFonts w:hint="default" w:ascii="Times New Roman" w:hAnsi="Times New Roman" w:eastAsia="方正黑体_GBK" w:cs="Times New Roman"/>
          <w:b w:val="0"/>
          <w:bCs w:val="0"/>
          <w:sz w:val="32"/>
          <w:szCs w:val="32"/>
          <w:lang w:val="en-US" w:eastAsia="zh-CN"/>
        </w:rPr>
      </w:pPr>
      <w:bookmarkStart w:id="335" w:name="_Toc16586"/>
      <w:bookmarkStart w:id="336" w:name="_Toc17617"/>
      <w:bookmarkStart w:id="337" w:name="_Toc21997"/>
      <w:bookmarkStart w:id="338" w:name="_Toc25261"/>
      <w:bookmarkStart w:id="339" w:name="_Toc8126"/>
      <w:bookmarkStart w:id="340" w:name="_Toc31275"/>
      <w:bookmarkStart w:id="341" w:name="_Toc218434160"/>
      <w:bookmarkStart w:id="342" w:name="_Toc19558"/>
      <w:bookmarkStart w:id="343" w:name="_Toc31297"/>
      <w:bookmarkStart w:id="344" w:name="_Toc31056"/>
      <w:bookmarkStart w:id="345" w:name="_Toc10330"/>
      <w:bookmarkStart w:id="346" w:name="_Toc27447"/>
      <w:bookmarkStart w:id="347" w:name="_Toc22132"/>
      <w:bookmarkStart w:id="348" w:name="_Toc28445"/>
      <w:bookmarkStart w:id="349" w:name="_Toc22618"/>
      <w:bookmarkStart w:id="350" w:name="_Toc5816"/>
      <w:bookmarkStart w:id="351" w:name="_Toc196403178"/>
      <w:bookmarkStart w:id="352" w:name="_Toc14544"/>
      <w:r>
        <w:rPr>
          <w:rFonts w:hint="default" w:ascii="Times New Roman" w:hAnsi="Times New Roman" w:eastAsia="方正黑体_GBK" w:cs="Times New Roman"/>
          <w:b w:val="0"/>
          <w:bCs w:val="0"/>
          <w:sz w:val="32"/>
          <w:szCs w:val="32"/>
          <w:lang w:val="en-US" w:eastAsia="zh-CN"/>
        </w:rPr>
        <w:t>第六章 重点任务</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75DA5F2E">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353" w:name="_Toc18056"/>
      <w:bookmarkStart w:id="354" w:name="_Toc6473"/>
      <w:bookmarkStart w:id="355" w:name="_Toc4881"/>
      <w:bookmarkStart w:id="356" w:name="_Toc12648"/>
      <w:bookmarkStart w:id="357" w:name="_Toc4050"/>
      <w:bookmarkStart w:id="358" w:name="_Toc19538"/>
      <w:bookmarkStart w:id="359" w:name="_Toc5466"/>
      <w:bookmarkStart w:id="360" w:name="_Toc30370"/>
      <w:bookmarkStart w:id="361" w:name="_Toc7287"/>
      <w:bookmarkStart w:id="362" w:name="_Toc22567"/>
      <w:bookmarkStart w:id="363" w:name="_Toc14037"/>
      <w:bookmarkStart w:id="364" w:name="_Toc18242"/>
      <w:bookmarkStart w:id="365" w:name="_Toc196403179"/>
      <w:bookmarkStart w:id="366" w:name="_Toc218434161"/>
      <w:bookmarkStart w:id="367" w:name="_Toc9608"/>
      <w:bookmarkStart w:id="368" w:name="_Toc14015"/>
      <w:bookmarkStart w:id="369" w:name="_Toc6990"/>
      <w:bookmarkStart w:id="370" w:name="_Toc1263"/>
      <w:r>
        <w:rPr>
          <w:rFonts w:hint="default" w:ascii="方正黑体_GBK" w:hAnsi="方正黑体_GBK" w:eastAsia="方正黑体_GBK" w:cs="方正黑体_GBK"/>
          <w:b w:val="0"/>
          <w:bCs w:val="0"/>
          <w:sz w:val="32"/>
          <w:szCs w:val="32"/>
          <w:lang w:val="en-US" w:eastAsia="zh-CN"/>
        </w:rPr>
        <w:t>一、构建多维的保障性住房体系</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3E95D386">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14:textFill>
            <w14:solidFill>
              <w14:schemeClr w14:val="tx1"/>
            </w14:solidFill>
          </w14:textFill>
        </w:rPr>
      </w:pPr>
      <w:r>
        <w:rPr>
          <w:rFonts w:hint="default" w:ascii="Times New Roman" w:hAnsi="Times New Roman" w:eastAsia="方正仿宋简体" w:cs="Times New Roman"/>
          <w:color w:val="000000" w:themeColor="text1"/>
          <w:sz w:val="32"/>
          <w:szCs w:val="32"/>
          <w14:textFill>
            <w14:solidFill>
              <w14:schemeClr w14:val="tx1"/>
            </w14:solidFill>
          </w14:textFill>
        </w:rPr>
        <w:t>多渠道筹集</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保障性住房</w:t>
      </w:r>
      <w:r>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t>房</w:t>
      </w:r>
      <w:r>
        <w:rPr>
          <w:rFonts w:hint="default" w:ascii="Times New Roman" w:hAnsi="Times New Roman" w:eastAsia="方正仿宋简体" w:cs="Times New Roman"/>
          <w:color w:val="000000" w:themeColor="text1"/>
          <w:sz w:val="32"/>
          <w:szCs w:val="32"/>
          <w14:textFill>
            <w14:solidFill>
              <w14:schemeClr w14:val="tx1"/>
            </w14:solidFill>
          </w14:textFill>
        </w:rPr>
        <w:t>源，增加房源有效供给</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完善资金筹集体系，引入社会资本</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细化保障性住房的规划设计、建设、交付标准</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优化分配机制，精准覆盖保障对象</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升级运营服务，构建专业化运营管理体系</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多途径、多方位、全过程动态监管。</w:t>
      </w:r>
      <w:bookmarkStart w:id="371" w:name="_Toc25606"/>
      <w:bookmarkStart w:id="372" w:name="_Toc28282"/>
      <w:bookmarkStart w:id="373" w:name="_Toc15963"/>
      <w:bookmarkStart w:id="374" w:name="_Toc2824"/>
      <w:bookmarkStart w:id="375" w:name="_Toc5899"/>
      <w:bookmarkStart w:id="376" w:name="_Toc31742"/>
      <w:bookmarkStart w:id="377" w:name="_Toc15195"/>
      <w:bookmarkStart w:id="378" w:name="_Toc218434162"/>
      <w:bookmarkStart w:id="379" w:name="_Toc17625"/>
      <w:bookmarkStart w:id="380" w:name="_Toc9545"/>
      <w:bookmarkStart w:id="381" w:name="_Toc3343"/>
      <w:bookmarkStart w:id="382" w:name="_Toc32477"/>
      <w:bookmarkStart w:id="383" w:name="_Toc19451"/>
      <w:bookmarkStart w:id="384" w:name="_Toc7783"/>
      <w:bookmarkStart w:id="385" w:name="_Toc196403180"/>
      <w:bookmarkStart w:id="386" w:name="_Toc7111"/>
      <w:bookmarkStart w:id="387" w:name="_Toc3959"/>
      <w:bookmarkStart w:id="388" w:name="_Toc13028"/>
    </w:p>
    <w:p w14:paraId="66C86E5F">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r>
        <w:rPr>
          <w:rFonts w:hint="default" w:ascii="方正黑体_GBK" w:hAnsi="方正黑体_GBK" w:eastAsia="方正黑体_GBK" w:cs="方正黑体_GBK"/>
          <w:b w:val="0"/>
          <w:bCs w:val="0"/>
          <w:sz w:val="32"/>
          <w:szCs w:val="32"/>
          <w:lang w:val="en-US" w:eastAsia="zh-CN"/>
        </w:rPr>
        <w:t>二、推动高质量、全生命周期的住房市场发展</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73213782">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color w:val="000000" w:themeColor="text1"/>
          <w:sz w:val="32"/>
          <w:szCs w:val="32"/>
          <w:lang w:val="en-US" w:eastAsia="zh-CN"/>
          <w14:textFill>
            <w14:solidFill>
              <w14:schemeClr w14:val="tx1"/>
            </w14:solidFill>
          </w14:textFill>
        </w:rPr>
      </w:pPr>
      <w:r>
        <w:rPr>
          <w:rFonts w:hint="default" w:ascii="Times New Roman" w:hAnsi="Times New Roman" w:eastAsia="方正仿宋简体" w:cs="Times New Roman"/>
          <w:color w:val="000000" w:themeColor="text1"/>
          <w:sz w:val="32"/>
          <w:szCs w:val="32"/>
          <w14:textFill>
            <w14:solidFill>
              <w14:schemeClr w14:val="tx1"/>
            </w14:solidFill>
          </w14:textFill>
        </w:rPr>
        <w:t>健全住房和土地供应联动机制</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落实人房地钱联动政策</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加强房地产金融管控</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保持房地产金融政策连续性、稳定性</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强化房地产市场监测机制</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建立房地产市场调控部门会商制度</w:t>
      </w:r>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r>
        <w:rPr>
          <w:rFonts w:hint="default" w:ascii="Times New Roman" w:hAnsi="Times New Roman" w:eastAsia="方正仿宋简体" w:cs="Times New Roman"/>
          <w:color w:val="000000" w:themeColor="text1"/>
          <w:sz w:val="32"/>
          <w:szCs w:val="32"/>
          <w14:textFill>
            <w14:solidFill>
              <w14:schemeClr w14:val="tx1"/>
            </w14:solidFill>
          </w14:textFill>
        </w:rPr>
        <w:t>推进建立房地产全覆盖的行业信用管理体系</w:t>
      </w:r>
      <w:bookmarkStart w:id="389" w:name="_Toc4873"/>
      <w:bookmarkStart w:id="390" w:name="_Toc12295"/>
      <w:bookmarkStart w:id="391" w:name="_Toc27395"/>
      <w:bookmarkStart w:id="392" w:name="_Toc4367"/>
      <w:bookmarkStart w:id="393" w:name="_Toc23482"/>
      <w:bookmarkStart w:id="394" w:name="_Toc17114"/>
      <w:bookmarkStart w:id="395" w:name="_Toc7080"/>
      <w:bookmarkStart w:id="396" w:name="_Toc6211"/>
      <w:bookmarkStart w:id="397" w:name="_Toc218434163"/>
      <w:bookmarkStart w:id="398" w:name="_Toc19868"/>
      <w:bookmarkStart w:id="399" w:name="_Toc23883"/>
      <w:bookmarkStart w:id="400" w:name="_Toc29638"/>
      <w:bookmarkStart w:id="401" w:name="_Toc15084"/>
      <w:bookmarkStart w:id="402" w:name="_Toc32160"/>
      <w:bookmarkStart w:id="403" w:name="_Toc196403181"/>
      <w:bookmarkStart w:id="404" w:name="_Toc12183"/>
      <w:bookmarkStart w:id="405" w:name="_Toc2670"/>
      <w:bookmarkStart w:id="406" w:name="_Toc835"/>
      <w:r>
        <w:rPr>
          <w:rFonts w:hint="default" w:ascii="Times New Roman" w:hAnsi="Times New Roman" w:eastAsia="方正仿宋简体" w:cs="Times New Roman"/>
          <w:color w:val="000000" w:themeColor="text1"/>
          <w:sz w:val="32"/>
          <w:szCs w:val="32"/>
          <w:lang w:eastAsia="zh-CN"/>
          <w14:textFill>
            <w14:solidFill>
              <w14:schemeClr w14:val="tx1"/>
            </w14:solidFill>
          </w14:textFill>
        </w:rPr>
        <w:t>。</w:t>
      </w:r>
    </w:p>
    <w:p w14:paraId="78B16BA0">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r>
        <w:rPr>
          <w:rFonts w:hint="default" w:ascii="方正黑体_GBK" w:hAnsi="方正黑体_GBK" w:eastAsia="方正黑体_GBK" w:cs="方正黑体_GBK"/>
          <w:b w:val="0"/>
          <w:bCs w:val="0"/>
          <w:sz w:val="32"/>
          <w:szCs w:val="32"/>
          <w:lang w:val="en-US" w:eastAsia="zh-CN"/>
        </w:rPr>
        <w:t>三、促进住房租赁市场规模化、规范化发展</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32C4E12B">
      <w:pPr>
        <w:pStyle w:val="4"/>
        <w:keepNext w:val="0"/>
        <w:keepLines w:val="0"/>
        <w:pageBreakBefore w:val="0"/>
        <w:widowControl/>
        <w:pBdr>
          <w:top w:val="none" w:color="auto" w:sz="0" w:space="0"/>
          <w:left w:val="none" w:color="auto" w:sz="0" w:space="0"/>
          <w:bottom w:val="none" w:color="auto" w:sz="0" w:space="0"/>
          <w:right w:val="none" w:color="auto" w:sz="0" w:space="0"/>
        </w:pBdr>
        <w:shd w:val="clear" w:fill="FFFFFF"/>
        <w:kinsoku/>
        <w:wordWrap/>
        <w:overflowPunct/>
        <w:topLinePunct w:val="0"/>
        <w:bidi w:val="0"/>
        <w:snapToGrid/>
        <w:spacing w:before="0" w:beforeAutospacing="0" w:after="0" w:afterAutospacing="0" w:line="560" w:lineRule="exact"/>
        <w:ind w:firstLine="800" w:firstLineChars="250"/>
        <w:jc w:val="both"/>
        <w:textAlignment w:val="auto"/>
        <w:rPr>
          <w:rFonts w:hint="default" w:ascii="Times New Roman" w:hAnsi="Times New Roman" w:eastAsia="方正仿宋简体" w:cs="Times New Roman"/>
          <w:color w:val="000000" w:themeColor="text1"/>
          <w:kern w:val="2"/>
          <w:sz w:val="32"/>
          <w:szCs w:val="32"/>
          <w:lang w:val="en-US" w:eastAsia="zh-CN" w:bidi="ar-SA"/>
          <w14:textFill>
            <w14:solidFill>
              <w14:schemeClr w14:val="tx1"/>
            </w14:solidFill>
          </w14:textFill>
        </w:rPr>
      </w:pPr>
      <w:bookmarkStart w:id="407" w:name="_Toc16795"/>
      <w:bookmarkStart w:id="408" w:name="_Toc5291"/>
      <w:bookmarkStart w:id="409" w:name="_Toc15839"/>
      <w:bookmarkStart w:id="410" w:name="_Toc5505"/>
      <w:bookmarkStart w:id="411" w:name="_Toc23733"/>
      <w:bookmarkStart w:id="412" w:name="_Toc11454"/>
      <w:bookmarkStart w:id="413" w:name="_Toc196403183"/>
      <w:bookmarkStart w:id="414" w:name="_Toc218434164"/>
      <w:bookmarkStart w:id="415" w:name="_Toc24971"/>
      <w:bookmarkStart w:id="416" w:name="_Toc18479"/>
      <w:bookmarkStart w:id="417" w:name="_Toc15123"/>
      <w:bookmarkStart w:id="418" w:name="_Toc7184"/>
      <w:bookmarkStart w:id="419" w:name="_Toc24380"/>
      <w:bookmarkStart w:id="420" w:name="_Toc10440"/>
      <w:bookmarkStart w:id="421" w:name="_Toc4689"/>
      <w:bookmarkStart w:id="422" w:name="_Toc13651"/>
      <w:bookmarkStart w:id="423" w:name="_Toc280"/>
      <w:r>
        <w:rPr>
          <w:rFonts w:hint="default" w:ascii="Times New Roman" w:hAnsi="Times New Roman" w:eastAsia="方正仿宋简体" w:cs="Times New Roman"/>
          <w:color w:val="000000" w:themeColor="text1"/>
          <w:kern w:val="2"/>
          <w:sz w:val="32"/>
          <w:szCs w:val="32"/>
          <w:lang w:val="en-US" w:eastAsia="zh-CN" w:bidi="ar-SA"/>
          <w14:textFill>
            <w14:solidFill>
              <w14:schemeClr w14:val="tx1"/>
            </w14:solidFill>
          </w14:textFill>
        </w:rPr>
        <w:t>多渠道增加租赁住房供给，鼓励个人和企业将符合条件的闲置住房进行出租；培育专业化规模化租赁企业，支持和引导国有企业和社会资本参与租赁住房建设和运营管理；规范住房租赁市场，加强住房租赁交易管理。</w:t>
      </w:r>
    </w:p>
    <w:p w14:paraId="6D3A75ED">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424" w:name="_Toc1947"/>
      <w:r>
        <w:rPr>
          <w:rFonts w:hint="default" w:ascii="方正黑体_GBK" w:hAnsi="方正黑体_GBK" w:eastAsia="方正黑体_GBK" w:cs="方正黑体_GBK"/>
          <w:b w:val="0"/>
          <w:bCs w:val="0"/>
          <w:sz w:val="32"/>
          <w:szCs w:val="32"/>
          <w:lang w:val="en-US" w:eastAsia="zh-CN"/>
        </w:rPr>
        <w:t>四、扎实推进老旧小区、棚户区（城中村）和危旧房改造</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1EED5C0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i w:val="0"/>
          <w:caps w:val="0"/>
          <w:spacing w:val="0"/>
          <w:kern w:val="2"/>
          <w:sz w:val="32"/>
          <w:szCs w:val="32"/>
          <w:shd w:val="clear"/>
          <w:lang w:val="en-US" w:eastAsia="zh-CN" w:bidi="ar-SA"/>
        </w:rPr>
      </w:pPr>
      <w:r>
        <w:rPr>
          <w:rFonts w:hint="default" w:ascii="Times New Roman" w:hAnsi="Times New Roman" w:eastAsia="方正仿宋简体" w:cs="Times New Roman"/>
          <w:i w:val="0"/>
          <w:caps w:val="0"/>
          <w:spacing w:val="0"/>
          <w:kern w:val="2"/>
          <w:sz w:val="32"/>
          <w:szCs w:val="32"/>
          <w:shd w:val="clear"/>
          <w:lang w:val="en-US" w:eastAsia="zh-CN" w:bidi="ar-SA"/>
        </w:rPr>
        <w:t>将老旧小区、棚户区（城中村）和危旧房改造作为重大的民生工程和发展工程，坚持民生优先、安全底线、品质提升、长效管护原则，依据团场财力、居民改造意愿、改造迫切程度等，制订计划、分类推进、先易后难、力补短板，持续改善群众居住条件。</w:t>
      </w:r>
    </w:p>
    <w:p w14:paraId="60E049BD">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425" w:name="_Toc6919"/>
      <w:bookmarkStart w:id="426" w:name="_Toc218434165"/>
      <w:bookmarkStart w:id="427" w:name="_Toc16789"/>
      <w:bookmarkStart w:id="428" w:name="_Toc27240"/>
      <w:bookmarkStart w:id="429" w:name="_Toc5754"/>
      <w:bookmarkStart w:id="430" w:name="_Toc20181"/>
      <w:bookmarkStart w:id="431" w:name="_Toc26160"/>
      <w:bookmarkStart w:id="432" w:name="_Toc10755"/>
      <w:bookmarkStart w:id="433" w:name="_Toc15426"/>
      <w:bookmarkStart w:id="434" w:name="_Toc4574"/>
      <w:bookmarkStart w:id="435" w:name="_Toc32232"/>
      <w:bookmarkStart w:id="436" w:name="_Toc1836"/>
      <w:bookmarkStart w:id="437" w:name="_Toc20202"/>
      <w:bookmarkStart w:id="438" w:name="_Toc1591"/>
      <w:bookmarkStart w:id="439" w:name="_Toc5307"/>
      <w:bookmarkStart w:id="440" w:name="_Toc18577"/>
      <w:bookmarkStart w:id="441" w:name="_Toc196403182"/>
      <w:bookmarkStart w:id="442" w:name="_Toc686"/>
      <w:r>
        <w:rPr>
          <w:rFonts w:hint="default" w:ascii="方正黑体_GBK" w:hAnsi="方正黑体_GBK" w:eastAsia="方正黑体_GBK" w:cs="方正黑体_GBK"/>
          <w:b w:val="0"/>
          <w:bCs w:val="0"/>
          <w:sz w:val="32"/>
          <w:szCs w:val="32"/>
          <w:lang w:val="en-US" w:eastAsia="zh-CN"/>
        </w:rPr>
        <w:t>五、科学统筹住宅规划，塑造宜居城市风貌</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43C8DCF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i w:val="0"/>
          <w:caps w:val="0"/>
          <w:spacing w:val="0"/>
          <w:kern w:val="2"/>
          <w:sz w:val="32"/>
          <w:szCs w:val="32"/>
          <w:shd w:val="clear"/>
          <w:lang w:val="en-US" w:eastAsia="zh-CN" w:bidi="ar-SA"/>
        </w:rPr>
      </w:pPr>
      <w:bookmarkStart w:id="443" w:name="_Toc11663"/>
      <w:bookmarkStart w:id="444" w:name="_Toc8176"/>
      <w:bookmarkStart w:id="445" w:name="_Toc3045"/>
      <w:bookmarkStart w:id="446" w:name="_Toc16291"/>
      <w:bookmarkStart w:id="447" w:name="_Toc8659"/>
      <w:bookmarkStart w:id="448" w:name="_Toc13919"/>
      <w:bookmarkStart w:id="449" w:name="_Toc11273"/>
      <w:bookmarkStart w:id="450" w:name="_Toc4880"/>
      <w:bookmarkStart w:id="451" w:name="_Toc16624"/>
      <w:bookmarkStart w:id="452" w:name="_Toc7084"/>
      <w:bookmarkStart w:id="453" w:name="_Toc30838"/>
      <w:bookmarkStart w:id="454" w:name="_Toc7874"/>
      <w:bookmarkStart w:id="455" w:name="_Toc15098"/>
      <w:bookmarkStart w:id="456" w:name="_Toc20745"/>
      <w:bookmarkStart w:id="457" w:name="_Toc24161"/>
      <w:bookmarkStart w:id="458" w:name="_Toc196403184"/>
      <w:bookmarkStart w:id="459" w:name="_Toc218434166"/>
      <w:r>
        <w:rPr>
          <w:rFonts w:hint="default" w:ascii="Times New Roman" w:hAnsi="Times New Roman" w:eastAsia="方正仿宋简体" w:cs="Times New Roman"/>
          <w:i w:val="0"/>
          <w:caps w:val="0"/>
          <w:spacing w:val="0"/>
          <w:kern w:val="2"/>
          <w:sz w:val="32"/>
          <w:szCs w:val="32"/>
          <w:shd w:val="clear"/>
          <w:lang w:val="en-US" w:eastAsia="zh-CN" w:bidi="ar-SA"/>
        </w:rPr>
        <w:t>科学规划、合理选址，新建住宅小区选址必须严格契合师市国土空间总体规划，优先在城镇开发边界内集中布局；推进重点片区城市设计，精研城市空间设计。</w:t>
      </w:r>
    </w:p>
    <w:p w14:paraId="53E796C1">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460" w:name="_Toc25578"/>
      <w:r>
        <w:rPr>
          <w:rFonts w:hint="default" w:ascii="方正黑体_GBK" w:hAnsi="方正黑体_GBK" w:eastAsia="方正黑体_GBK" w:cs="方正黑体_GBK"/>
          <w:b w:val="0"/>
          <w:bCs w:val="0"/>
          <w:sz w:val="32"/>
          <w:szCs w:val="32"/>
          <w:lang w:val="en-US" w:eastAsia="zh-CN"/>
        </w:rPr>
        <w:t>六、推行“好房子”建设标准</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p w14:paraId="2E756F66">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b w:val="0"/>
          <w:bCs w:val="0"/>
          <w:color w:val="000000" w:themeColor="text1"/>
          <w:sz w:val="32"/>
          <w:szCs w:val="32"/>
          <w:highlight w:val="none"/>
          <w:lang w:val="en-US" w:eastAsia="zh-CN"/>
          <w14:textFill>
            <w14:solidFill>
              <w14:schemeClr w14:val="tx1"/>
            </w14:solidFill>
          </w14:textFill>
        </w:rPr>
      </w:pPr>
      <w:r>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t>严格执行国家《住宅项目规范》等强制性标准</w:t>
      </w:r>
      <w:r>
        <w:rPr>
          <w:rFonts w:hint="default" w:ascii="Times New Roman" w:hAnsi="Times New Roman" w:eastAsia="方正仿宋简体" w:cs="Times New Roman"/>
          <w:b w:val="0"/>
          <w:bCs w:val="0"/>
          <w:color w:val="000000" w:themeColor="text1"/>
          <w:sz w:val="32"/>
          <w:szCs w:val="32"/>
          <w:highlight w:val="none"/>
          <w:lang w:eastAsia="zh-CN"/>
          <w14:textFill>
            <w14:solidFill>
              <w14:schemeClr w14:val="tx1"/>
            </w14:solidFill>
          </w14:textFill>
        </w:rPr>
        <w:t>；</w:t>
      </w:r>
      <w:r>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t>强化安全耐久与质量管控</w:t>
      </w:r>
      <w:r>
        <w:rPr>
          <w:rFonts w:hint="default" w:ascii="Times New Roman" w:hAnsi="Times New Roman" w:eastAsia="方正仿宋简体" w:cs="Times New Roman"/>
          <w:b w:val="0"/>
          <w:bCs w:val="0"/>
          <w:color w:val="000000" w:themeColor="text1"/>
          <w:sz w:val="32"/>
          <w:szCs w:val="32"/>
          <w:highlight w:val="none"/>
          <w:lang w:eastAsia="zh-CN"/>
          <w14:textFill>
            <w14:solidFill>
              <w14:schemeClr w14:val="tx1"/>
            </w14:solidFill>
          </w14:textFill>
        </w:rPr>
        <w:t>；</w:t>
      </w:r>
      <w:r>
        <w:rPr>
          <w:rFonts w:hint="default" w:ascii="Times New Roman" w:hAnsi="Times New Roman" w:eastAsia="方正仿宋简体" w:cs="Times New Roman"/>
          <w:b w:val="0"/>
          <w:bCs w:val="0"/>
          <w:color w:val="000000" w:themeColor="text1"/>
          <w:sz w:val="32"/>
          <w:szCs w:val="32"/>
          <w:highlight w:val="none"/>
          <w:lang w:val="en-US" w:eastAsia="zh-CN"/>
          <w14:textFill>
            <w14:solidFill>
              <w14:schemeClr w14:val="tx1"/>
            </w14:solidFill>
          </w14:textFill>
        </w:rPr>
        <w:t>提升住房健康舒适与绿色低碳性能；推进智能建造技术应用；规范验收流程与交付标准。</w:t>
      </w:r>
    </w:p>
    <w:p w14:paraId="7EC32632">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461" w:name="_Toc30438"/>
      <w:r>
        <w:rPr>
          <w:rFonts w:hint="default" w:ascii="方正黑体_GBK" w:hAnsi="方正黑体_GBK" w:eastAsia="方正黑体_GBK" w:cs="方正黑体_GBK"/>
          <w:b w:val="0"/>
          <w:bCs w:val="0"/>
          <w:sz w:val="32"/>
          <w:szCs w:val="32"/>
          <w:lang w:val="en-US" w:eastAsia="zh-CN"/>
        </w:rPr>
        <w:t>七、完整社区建设及养老托育设施提质增效</w:t>
      </w:r>
      <w:bookmarkEnd w:id="461"/>
    </w:p>
    <w:p w14:paraId="57B40395">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pPr>
      <w:bookmarkStart w:id="462" w:name="_Toc11006"/>
      <w:bookmarkStart w:id="463" w:name="_Toc196403186"/>
      <w:bookmarkStart w:id="464" w:name="_Toc218434168"/>
      <w:bookmarkStart w:id="465" w:name="_Toc8691"/>
      <w:bookmarkStart w:id="466" w:name="_Toc4368"/>
      <w:bookmarkStart w:id="467" w:name="_Toc14559"/>
      <w:bookmarkStart w:id="468" w:name="_Toc6742"/>
      <w:bookmarkStart w:id="469" w:name="_Toc30984"/>
      <w:bookmarkStart w:id="470" w:name="_Toc12109"/>
      <w:r>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t>“十五五”时期，师市立足职工群众民生需求，以城市更新为核心抓手，统筹推进完整社区扩面提质与养老托育服务设施体系建设，补齐社区配套短板、优化公共服务供给、完善基层治理体系，全力打造设施完善、服务优质、宜居有序、治理高效的现代化宜居社区，持续提升职工群众</w:t>
      </w:r>
      <w:r>
        <w:rPr>
          <w:rFonts w:hint="default" w:ascii="Times New Roman" w:hAnsi="Times New Roman" w:eastAsia="方正仿宋简体" w:cs="Times New Roman"/>
          <w:b w:val="0"/>
          <w:bCs w:val="0"/>
          <w:color w:val="000000" w:themeColor="text1"/>
          <w:sz w:val="32"/>
          <w:szCs w:val="32"/>
          <w:highlight w:val="none"/>
          <w:lang w:eastAsia="zh-CN"/>
          <w14:textFill>
            <w14:solidFill>
              <w14:schemeClr w14:val="tx1"/>
            </w14:solidFill>
          </w14:textFill>
        </w:rPr>
        <w:t>获得感、幸福感、安全感</w:t>
      </w:r>
      <w:r>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t>。</w:t>
      </w:r>
    </w:p>
    <w:p w14:paraId="43A50DA4">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471" w:name="_Toc30989"/>
      <w:bookmarkStart w:id="472" w:name="_Toc20409"/>
      <w:bookmarkStart w:id="473" w:name="_Toc22483"/>
      <w:bookmarkStart w:id="474" w:name="_Toc16778"/>
      <w:bookmarkStart w:id="475" w:name="_Toc5616"/>
      <w:bookmarkStart w:id="476" w:name="_Toc23488"/>
      <w:bookmarkStart w:id="477" w:name="_Toc11427"/>
      <w:bookmarkStart w:id="478" w:name="_Toc32640"/>
      <w:bookmarkStart w:id="479" w:name="_Toc16430"/>
      <w:r>
        <w:rPr>
          <w:rFonts w:hint="default" w:ascii="方正黑体_GBK" w:hAnsi="方正黑体_GBK" w:eastAsia="方正黑体_GBK" w:cs="方正黑体_GBK"/>
          <w:b w:val="0"/>
          <w:bCs w:val="0"/>
          <w:sz w:val="32"/>
          <w:szCs w:val="32"/>
          <w:lang w:val="en-US" w:eastAsia="zh-CN"/>
        </w:rPr>
        <w:t>八、推进住房公积金制度改革</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6E6F15C5">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pPr>
      <w:r>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t>扩大公积金制度保障覆盖范围</w:t>
      </w:r>
      <w:r>
        <w:rPr>
          <w:rFonts w:hint="default" w:ascii="Times New Roman" w:hAnsi="Times New Roman" w:eastAsia="方正仿宋简体" w:cs="Times New Roman"/>
          <w:b w:val="0"/>
          <w:bCs w:val="0"/>
          <w:color w:val="000000" w:themeColor="text1"/>
          <w:sz w:val="32"/>
          <w:szCs w:val="32"/>
          <w:highlight w:val="none"/>
          <w:lang w:eastAsia="zh-CN"/>
          <w14:textFill>
            <w14:solidFill>
              <w14:schemeClr w14:val="tx1"/>
            </w14:solidFill>
          </w14:textFill>
        </w:rPr>
        <w:t>，</w:t>
      </w:r>
      <w:r>
        <w:rPr>
          <w:rFonts w:hint="default" w:ascii="Times New Roman" w:hAnsi="Times New Roman" w:eastAsia="方正仿宋简体" w:cs="Times New Roman"/>
          <w:b w:val="0"/>
          <w:bCs w:val="0"/>
          <w:color w:val="000000" w:themeColor="text1"/>
          <w:sz w:val="32"/>
          <w:szCs w:val="32"/>
          <w:highlight w:val="none"/>
          <w:lang w:val="en-US" w:eastAsia="zh-CN"/>
          <w14:textFill>
            <w14:solidFill>
              <w14:schemeClr w14:val="tx1"/>
            </w14:solidFill>
          </w14:textFill>
        </w:rPr>
        <w:t>加大住房公积金政策宣传和执法力度，推动将缴存住房公积金纳入劳动合同示范文本，</w:t>
      </w:r>
      <w:r>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t>扩大制度保障覆盖面</w:t>
      </w:r>
      <w:r>
        <w:rPr>
          <w:rFonts w:hint="default" w:ascii="Times New Roman" w:hAnsi="Times New Roman" w:eastAsia="方正仿宋简体" w:cs="Times New Roman"/>
          <w:b w:val="0"/>
          <w:bCs w:val="0"/>
          <w:color w:val="000000" w:themeColor="text1"/>
          <w:sz w:val="32"/>
          <w:szCs w:val="32"/>
          <w:highlight w:val="none"/>
          <w:lang w:eastAsia="zh-CN"/>
          <w14:textFill>
            <w14:solidFill>
              <w14:schemeClr w14:val="tx1"/>
            </w14:solidFill>
          </w14:textFill>
        </w:rPr>
        <w:t>；</w:t>
      </w:r>
      <w:r>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t>提升住房公积金服务水平</w:t>
      </w:r>
      <w:r>
        <w:rPr>
          <w:rFonts w:hint="default" w:ascii="Times New Roman" w:hAnsi="Times New Roman" w:eastAsia="方正仿宋简体" w:cs="Times New Roman"/>
          <w:b w:val="0"/>
          <w:bCs w:val="0"/>
          <w:color w:val="000000" w:themeColor="text1"/>
          <w:sz w:val="32"/>
          <w:szCs w:val="32"/>
          <w:highlight w:val="none"/>
          <w:lang w:eastAsia="zh-CN"/>
          <w14:textFill>
            <w14:solidFill>
              <w14:schemeClr w14:val="tx1"/>
            </w14:solidFill>
          </w14:textFill>
        </w:rPr>
        <w:t>，</w:t>
      </w:r>
      <w:r>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t>持续推行“互联网+政务服务”。</w:t>
      </w:r>
    </w:p>
    <w:p w14:paraId="24EF897A">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480" w:name="_Toc10027"/>
      <w:bookmarkStart w:id="481" w:name="_Toc14576"/>
      <w:bookmarkStart w:id="482" w:name="_Toc31100"/>
      <w:bookmarkStart w:id="483" w:name="_Toc17623"/>
      <w:bookmarkStart w:id="484" w:name="_Toc27440"/>
      <w:bookmarkStart w:id="485" w:name="_Toc21843"/>
      <w:bookmarkStart w:id="486" w:name="_Toc218434169"/>
      <w:bookmarkStart w:id="487" w:name="_Toc3668"/>
      <w:bookmarkStart w:id="488" w:name="_Toc6794"/>
      <w:bookmarkStart w:id="489" w:name="_Toc196403187"/>
      <w:bookmarkStart w:id="490" w:name="_Toc20353"/>
      <w:bookmarkStart w:id="491" w:name="_Toc25673"/>
      <w:bookmarkStart w:id="492" w:name="_Toc9961"/>
      <w:bookmarkStart w:id="493" w:name="_Toc10366"/>
      <w:bookmarkStart w:id="494" w:name="_Toc20572"/>
      <w:bookmarkStart w:id="495" w:name="_Toc15477"/>
      <w:bookmarkStart w:id="496" w:name="_Toc5568"/>
      <w:bookmarkStart w:id="497" w:name="_Toc24600"/>
      <w:r>
        <w:rPr>
          <w:rFonts w:hint="default" w:ascii="方正黑体_GBK" w:hAnsi="方正黑体_GBK" w:eastAsia="方正黑体_GBK" w:cs="方正黑体_GBK"/>
          <w:b w:val="0"/>
          <w:bCs w:val="0"/>
          <w:sz w:val="32"/>
          <w:szCs w:val="32"/>
          <w:lang w:val="en-US" w:eastAsia="zh-CN"/>
        </w:rPr>
        <w:t>九、建立健全房屋全生命周期安全管理制度</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4E912658">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pPr>
      <w:r>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t>建立全周期动态监管机制‌，覆盖房屋从规划设计、施工验收、使用维护到拆除重建的全过程监管</w:t>
      </w:r>
      <w:r>
        <w:rPr>
          <w:rFonts w:hint="default" w:ascii="Times New Roman" w:hAnsi="Times New Roman" w:eastAsia="方正仿宋简体" w:cs="Times New Roman"/>
          <w:b w:val="0"/>
          <w:bCs w:val="0"/>
          <w:color w:val="000000" w:themeColor="text1"/>
          <w:sz w:val="32"/>
          <w:szCs w:val="32"/>
          <w:highlight w:val="none"/>
          <w:lang w:eastAsia="zh-CN"/>
          <w14:textFill>
            <w14:solidFill>
              <w14:schemeClr w14:val="tx1"/>
            </w14:solidFill>
          </w14:textFill>
        </w:rPr>
        <w:t>；</w:t>
      </w:r>
      <w:r>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t>完善房屋维修长效机制‌，设立专项基金用于房屋维护改造。</w:t>
      </w:r>
    </w:p>
    <w:p w14:paraId="78A43694">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498" w:name="_Toc20166"/>
      <w:bookmarkStart w:id="499" w:name="_Toc218434170"/>
      <w:bookmarkStart w:id="500" w:name="_Toc196403188"/>
      <w:bookmarkStart w:id="501" w:name="_Toc32594"/>
      <w:bookmarkStart w:id="502" w:name="_Toc8036"/>
      <w:bookmarkStart w:id="503" w:name="_Toc1546"/>
      <w:bookmarkStart w:id="504" w:name="_Toc8870"/>
      <w:bookmarkStart w:id="505" w:name="_Toc4663"/>
      <w:bookmarkStart w:id="506" w:name="_Toc29443"/>
      <w:bookmarkStart w:id="507" w:name="_Toc15243"/>
      <w:bookmarkStart w:id="508" w:name="_Toc2026"/>
      <w:bookmarkStart w:id="509" w:name="_Toc26335"/>
      <w:bookmarkStart w:id="510" w:name="_Toc16900"/>
      <w:bookmarkStart w:id="511" w:name="_Toc5847"/>
      <w:bookmarkStart w:id="512" w:name="_Toc26774"/>
      <w:bookmarkStart w:id="513" w:name="_Toc23061"/>
      <w:bookmarkStart w:id="514" w:name="_Toc28731"/>
      <w:bookmarkStart w:id="515" w:name="_Toc13722"/>
      <w:r>
        <w:rPr>
          <w:rFonts w:hint="default" w:ascii="方正黑体_GBK" w:hAnsi="方正黑体_GBK" w:eastAsia="方正黑体_GBK" w:cs="方正黑体_GBK"/>
          <w:b w:val="0"/>
          <w:bCs w:val="0"/>
          <w:sz w:val="32"/>
          <w:szCs w:val="32"/>
          <w:lang w:val="en-US" w:eastAsia="zh-CN"/>
        </w:rPr>
        <w:t>十、搭建住房智慧平台</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10C858C8">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pPr>
      <w:r>
        <w:rPr>
          <w:rFonts w:hint="default" w:ascii="Times New Roman" w:hAnsi="Times New Roman" w:eastAsia="方正仿宋简体" w:cs="Times New Roman"/>
          <w:b w:val="0"/>
          <w:bCs w:val="0"/>
          <w:color w:val="000000" w:themeColor="text1"/>
          <w:sz w:val="32"/>
          <w:szCs w:val="32"/>
          <w:highlight w:val="none"/>
          <w14:textFill>
            <w14:solidFill>
              <w14:schemeClr w14:val="tx1"/>
            </w14:solidFill>
          </w14:textFill>
        </w:rPr>
        <w:t>搭建住房城乡建设一体化平台‌，建立覆盖住房交易、公积金服务的联动系统，整合房屋基础数据、维修资金使用记录等，实现绝大部分业务流程线上管理‌。</w:t>
      </w:r>
    </w:p>
    <w:p w14:paraId="556F30BC">
      <w:pPr>
        <w:keepNext w:val="0"/>
        <w:keepLines w:val="0"/>
        <w:pageBreakBefore w:val="0"/>
        <w:kinsoku/>
        <w:wordWrap/>
        <w:overflowPunct/>
        <w:topLinePunct w:val="0"/>
        <w:bidi w:val="0"/>
        <w:snapToGrid/>
        <w:spacing w:line="560" w:lineRule="exact"/>
        <w:jc w:val="center"/>
        <w:textAlignment w:val="auto"/>
        <w:rPr>
          <w:rFonts w:hint="default" w:ascii="Times New Roman" w:hAnsi="Times New Roman" w:eastAsia="方正黑体_GBK" w:cs="Times New Roman"/>
          <w:b w:val="0"/>
          <w:bCs w:val="0"/>
          <w:sz w:val="32"/>
          <w:szCs w:val="32"/>
          <w:lang w:val="en-US" w:eastAsia="zh-CN"/>
        </w:rPr>
      </w:pPr>
      <w:bookmarkStart w:id="516" w:name="_Toc32181"/>
      <w:bookmarkStart w:id="517" w:name="_Toc2780"/>
      <w:bookmarkStart w:id="518" w:name="_Toc13275"/>
      <w:bookmarkStart w:id="519" w:name="_Toc7728"/>
      <w:bookmarkStart w:id="520" w:name="_Toc196403189"/>
      <w:bookmarkStart w:id="521" w:name="_Toc2854"/>
      <w:bookmarkStart w:id="522" w:name="_Toc218434171"/>
      <w:bookmarkStart w:id="523" w:name="_Toc23971"/>
      <w:bookmarkStart w:id="524" w:name="_Toc21207"/>
      <w:bookmarkStart w:id="525" w:name="_Toc5893"/>
      <w:bookmarkStart w:id="526" w:name="_Toc29774"/>
      <w:bookmarkStart w:id="527" w:name="_Toc16861"/>
      <w:bookmarkStart w:id="528" w:name="_Toc15347"/>
      <w:bookmarkStart w:id="529" w:name="_Toc24877"/>
      <w:bookmarkStart w:id="530" w:name="_Toc23282"/>
      <w:bookmarkStart w:id="531" w:name="_Toc16449"/>
      <w:bookmarkStart w:id="532" w:name="_Toc17205"/>
      <w:bookmarkStart w:id="533" w:name="_Toc24472"/>
      <w:r>
        <w:rPr>
          <w:rFonts w:hint="default" w:ascii="Times New Roman" w:hAnsi="Times New Roman" w:eastAsia="方正黑体_GBK" w:cs="Times New Roman"/>
          <w:b w:val="0"/>
          <w:bCs w:val="0"/>
          <w:sz w:val="32"/>
          <w:szCs w:val="32"/>
          <w:lang w:val="en-US" w:eastAsia="zh-CN"/>
        </w:rPr>
        <w:t xml:space="preserve">第七章 </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r>
        <w:rPr>
          <w:rFonts w:hint="default" w:ascii="Times New Roman" w:hAnsi="Times New Roman" w:eastAsia="方正黑体_GBK" w:cs="Times New Roman"/>
          <w:b w:val="0"/>
          <w:bCs w:val="0"/>
          <w:sz w:val="32"/>
          <w:szCs w:val="32"/>
          <w:lang w:val="en-US" w:eastAsia="zh-CN"/>
        </w:rPr>
        <w:t>城镇住房发展分区指引</w:t>
      </w:r>
    </w:p>
    <w:p w14:paraId="0852B8A5">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534" w:name="_Toc31545"/>
      <w:bookmarkStart w:id="535" w:name="_Toc11481"/>
      <w:bookmarkStart w:id="536" w:name="_Toc25963"/>
      <w:bookmarkStart w:id="537" w:name="_Toc15701"/>
      <w:bookmarkStart w:id="538" w:name="_Toc15124"/>
      <w:bookmarkStart w:id="539" w:name="_Toc9060"/>
      <w:bookmarkStart w:id="540" w:name="_Toc218434172"/>
      <w:bookmarkStart w:id="541" w:name="_Toc3295"/>
      <w:bookmarkStart w:id="542" w:name="_Toc25601"/>
      <w:bookmarkStart w:id="543" w:name="_Toc15534"/>
      <w:bookmarkStart w:id="544" w:name="_Toc18035"/>
      <w:bookmarkStart w:id="545" w:name="_Toc7886"/>
      <w:bookmarkStart w:id="546" w:name="_Toc22668"/>
      <w:bookmarkStart w:id="547" w:name="_Toc22587"/>
      <w:bookmarkStart w:id="548" w:name="_Toc18338"/>
      <w:bookmarkStart w:id="549" w:name="_Toc4147"/>
      <w:bookmarkStart w:id="550" w:name="_Toc31998"/>
      <w:r>
        <w:rPr>
          <w:rFonts w:hint="default" w:ascii="方正黑体_GBK" w:hAnsi="方正黑体_GBK" w:eastAsia="方正黑体_GBK" w:cs="方正黑体_GBK"/>
          <w:b w:val="0"/>
          <w:bCs w:val="0"/>
          <w:sz w:val="32"/>
          <w:szCs w:val="32"/>
          <w:lang w:val="en-US" w:eastAsia="zh-CN"/>
        </w:rPr>
        <w:t>一、第十三师新星市中心城区住房发展指引</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78A5ACB4">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b w:val="0"/>
          <w:bCs w:val="0"/>
          <w:sz w:val="32"/>
          <w:szCs w:val="32"/>
          <w:lang w:val="en-US" w:eastAsia="zh-CN"/>
        </w:rPr>
      </w:pPr>
      <w:bookmarkStart w:id="551" w:name="_Hlk218271317"/>
      <w:r>
        <w:rPr>
          <w:rFonts w:hint="default" w:ascii="Times New Roman" w:hAnsi="Times New Roman" w:eastAsia="方正仿宋简体" w:cs="Times New Roman"/>
          <w:b w:val="0"/>
          <w:bCs w:val="0"/>
          <w:sz w:val="32"/>
          <w:szCs w:val="32"/>
          <w:lang w:val="en-US" w:eastAsia="zh-CN"/>
        </w:rPr>
        <w:t>坚持“产城联动、以产聚人、以人兴房、提质增效”的核心思路。摒弃传统粗放式住宅扩张模式，推动住房发展与城市规划、产业布局、公共服务深度融合，构建“刚需有保障、改善有品质、租赁有供给、市场有活力”的现代化住房发展体系，助力中心城区做强全域发展主引擎功能。</w:t>
      </w:r>
    </w:p>
    <w:bookmarkEnd w:id="551"/>
    <w:p w14:paraId="648FA3FE">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552" w:name="_Toc7991"/>
      <w:bookmarkStart w:id="553" w:name="_Toc15802"/>
      <w:bookmarkStart w:id="554" w:name="_Toc30237"/>
      <w:bookmarkStart w:id="555" w:name="_Toc20397"/>
      <w:bookmarkStart w:id="556" w:name="_Toc15572"/>
      <w:bookmarkStart w:id="557" w:name="_Toc13957"/>
      <w:bookmarkStart w:id="558" w:name="_Toc23491"/>
      <w:bookmarkStart w:id="559" w:name="_Toc10019"/>
      <w:bookmarkStart w:id="560" w:name="_Toc17251"/>
      <w:bookmarkStart w:id="561" w:name="_Toc218434173"/>
      <w:bookmarkStart w:id="562" w:name="_Toc11825"/>
      <w:bookmarkStart w:id="563" w:name="_Toc895"/>
      <w:bookmarkStart w:id="564" w:name="_Toc25752"/>
      <w:bookmarkStart w:id="565" w:name="_Toc18519"/>
      <w:bookmarkStart w:id="566" w:name="_Toc20340"/>
      <w:bookmarkStart w:id="567" w:name="_Toc21046"/>
      <w:bookmarkStart w:id="568" w:name="_Toc8389"/>
      <w:r>
        <w:rPr>
          <w:rFonts w:hint="default" w:ascii="方正黑体_GBK" w:hAnsi="方正黑体_GBK" w:eastAsia="方正黑体_GBK" w:cs="方正黑体_GBK"/>
          <w:b w:val="0"/>
          <w:bCs w:val="0"/>
          <w:sz w:val="32"/>
          <w:szCs w:val="32"/>
          <w:lang w:val="en-US" w:eastAsia="zh-CN"/>
        </w:rPr>
        <w:t>二、大营房城区住房发展指引</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46028965">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rPr>
        <w:t>继续推进老旧小区改造，完善基本公共服务设施与市政配套基础设施，改善社区环境与住房品质；适度推进棚户区改造、充分盘活闲置存量用地、以获取新建住宅开发项目；积极与地方共谋住宅发展计划，推进片区住房协同发展</w:t>
      </w:r>
      <w:r>
        <w:rPr>
          <w:rFonts w:hint="default" w:ascii="Times New Roman" w:hAnsi="Times New Roman" w:eastAsia="方正仿宋简体" w:cs="Times New Roman"/>
          <w:sz w:val="32"/>
          <w:szCs w:val="32"/>
          <w:lang w:val="en-US" w:eastAsia="zh-CN"/>
        </w:rPr>
        <w:t>。</w:t>
      </w:r>
    </w:p>
    <w:p w14:paraId="4C29CDD8">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569" w:name="_Toc7576"/>
      <w:bookmarkStart w:id="570" w:name="_Toc6426"/>
      <w:bookmarkStart w:id="571" w:name="_Toc16979"/>
      <w:bookmarkStart w:id="572" w:name="_Toc19098"/>
      <w:bookmarkStart w:id="573" w:name="_Toc11494"/>
      <w:bookmarkStart w:id="574" w:name="_Toc3098"/>
      <w:bookmarkStart w:id="575" w:name="_Toc8595"/>
      <w:bookmarkStart w:id="576" w:name="_Toc27662"/>
      <w:bookmarkStart w:id="577" w:name="_Toc2445"/>
      <w:bookmarkStart w:id="578" w:name="_Toc7339"/>
      <w:bookmarkStart w:id="579" w:name="_Toc18595"/>
      <w:bookmarkStart w:id="580" w:name="_Toc218434174"/>
      <w:bookmarkStart w:id="581" w:name="_Toc20406"/>
      <w:bookmarkStart w:id="582" w:name="_Toc32294"/>
      <w:bookmarkStart w:id="583" w:name="_Toc20870"/>
      <w:bookmarkStart w:id="584" w:name="_Toc19768"/>
      <w:bookmarkStart w:id="585" w:name="_Toc21103"/>
      <w:r>
        <w:rPr>
          <w:rFonts w:hint="default" w:ascii="方正黑体_GBK" w:hAnsi="方正黑体_GBK" w:eastAsia="方正黑体_GBK" w:cs="方正黑体_GBK"/>
          <w:b w:val="0"/>
          <w:bCs w:val="0"/>
          <w:sz w:val="32"/>
          <w:szCs w:val="32"/>
          <w:lang w:val="en-US" w:eastAsia="zh-CN"/>
        </w:rPr>
        <w:t>三、红星一场二道湖镇住房发展指引</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14:paraId="3E7C9A01">
      <w:pPr>
        <w:keepNext w:val="0"/>
        <w:keepLines w:val="0"/>
        <w:pageBreakBefore w:val="0"/>
        <w:kinsoku/>
        <w:wordWrap/>
        <w:overflowPunct/>
        <w:topLinePunct w:val="0"/>
        <w:autoSpaceDE w:val="0"/>
        <w:autoSpaceDN w:val="0"/>
        <w:bidi w:val="0"/>
        <w:adjustRightInd w:val="0"/>
        <w:snapToGrid/>
        <w:spacing w:line="560" w:lineRule="exact"/>
        <w:ind w:firstLine="640" w:firstLineChars="200"/>
        <w:jc w:val="left"/>
        <w:textAlignment w:val="auto"/>
        <w:rPr>
          <w:rFonts w:hint="default" w:ascii="Times New Roman" w:hAnsi="Times New Roman" w:eastAsia="方正仿宋简体" w:cs="Times New Roman"/>
          <w:bCs/>
          <w:sz w:val="32"/>
          <w:szCs w:val="32"/>
        </w:rPr>
      </w:pPr>
      <w:bookmarkStart w:id="586" w:name="_Hlk218273831"/>
      <w:r>
        <w:rPr>
          <w:rFonts w:hint="default" w:ascii="Times New Roman" w:hAnsi="Times New Roman" w:eastAsia="方正仿宋简体" w:cs="Times New Roman"/>
          <w:bCs/>
          <w:color w:val="000000" w:themeColor="text1"/>
          <w:sz w:val="32"/>
          <w:szCs w:val="32"/>
          <w14:textFill>
            <w14:solidFill>
              <w14:schemeClr w14:val="tx1"/>
            </w14:solidFill>
          </w14:textFill>
        </w:rPr>
        <w:t>结合农业经济特色，依托位于哈密市</w:t>
      </w:r>
      <w:r>
        <w:rPr>
          <w:rFonts w:hint="default" w:ascii="Times New Roman" w:hAnsi="Times New Roman" w:eastAsia="方正仿宋简体" w:cs="Times New Roman"/>
          <w:bCs/>
          <w:color w:val="000000" w:themeColor="text1"/>
          <w:sz w:val="32"/>
          <w:szCs w:val="32"/>
          <w:highlight w:val="none"/>
          <w:lang w:eastAsia="zh-CN"/>
          <w14:textFill>
            <w14:solidFill>
              <w14:schemeClr w14:val="tx1"/>
            </w14:solidFill>
          </w14:textFill>
        </w:rPr>
        <w:t>－</w:t>
      </w:r>
      <w:r>
        <w:rPr>
          <w:rFonts w:hint="default" w:ascii="Times New Roman" w:hAnsi="Times New Roman" w:eastAsia="方正仿宋简体" w:cs="Times New Roman"/>
          <w:bCs/>
          <w:color w:val="000000" w:themeColor="text1"/>
          <w:sz w:val="32"/>
          <w:szCs w:val="32"/>
          <w14:textFill>
            <w14:solidFill>
              <w14:schemeClr w14:val="tx1"/>
            </w14:solidFill>
          </w14:textFill>
        </w:rPr>
        <w:t>新星市双城经济圈，发展康养品质住宅；持续推进老旧小区改造和棚户区更新改造，提高居住环境与住房水平</w:t>
      </w:r>
      <w:r>
        <w:rPr>
          <w:rFonts w:hint="default" w:ascii="Times New Roman" w:hAnsi="Times New Roman" w:eastAsia="方正仿宋简体" w:cs="Times New Roman"/>
          <w:bCs/>
          <w:sz w:val="32"/>
          <w:szCs w:val="32"/>
        </w:rPr>
        <w:t>，借助新星市经济开发区人口辐射效应，</w:t>
      </w:r>
      <w:r>
        <w:rPr>
          <w:rFonts w:hint="default" w:ascii="Times New Roman" w:hAnsi="Times New Roman" w:eastAsia="方正仿宋简体" w:cs="Times New Roman"/>
          <w:bCs/>
          <w:sz w:val="32"/>
          <w:szCs w:val="32"/>
          <w:lang w:val="en-US" w:eastAsia="zh-CN"/>
        </w:rPr>
        <w:t>精准布局商业业态，推动商业开发与住房定位同频共振，契合区域发展重点。</w:t>
      </w:r>
    </w:p>
    <w:bookmarkEnd w:id="586"/>
    <w:p w14:paraId="717E96F2">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587" w:name="_Toc8675"/>
      <w:bookmarkStart w:id="588" w:name="_Toc24486"/>
      <w:bookmarkStart w:id="589" w:name="_Toc27713"/>
      <w:bookmarkStart w:id="590" w:name="_Toc3135"/>
      <w:bookmarkStart w:id="591" w:name="_Toc18696"/>
      <w:bookmarkStart w:id="592" w:name="_Toc31126"/>
      <w:bookmarkStart w:id="593" w:name="_Toc29195"/>
      <w:bookmarkStart w:id="594" w:name="_Toc15810"/>
      <w:bookmarkStart w:id="595" w:name="_Toc4643"/>
      <w:bookmarkStart w:id="596" w:name="_Toc32545"/>
      <w:bookmarkStart w:id="597" w:name="_Toc11234"/>
      <w:bookmarkStart w:id="598" w:name="_Toc218434176"/>
      <w:bookmarkStart w:id="599" w:name="_Toc3484"/>
      <w:bookmarkStart w:id="600" w:name="_Toc11992"/>
      <w:bookmarkStart w:id="601" w:name="_Toc8448"/>
      <w:bookmarkStart w:id="602" w:name="_Toc2909"/>
      <w:bookmarkStart w:id="603" w:name="_Toc5998"/>
      <w:bookmarkStart w:id="604" w:name="_Toc26813"/>
      <w:bookmarkStart w:id="605" w:name="_Toc23278"/>
      <w:bookmarkStart w:id="606" w:name="_Toc27372"/>
      <w:bookmarkStart w:id="607" w:name="_Toc603"/>
      <w:bookmarkStart w:id="608" w:name="_Toc20283"/>
      <w:bookmarkStart w:id="609" w:name="_Toc17139"/>
      <w:bookmarkStart w:id="610" w:name="_Toc218434175"/>
      <w:bookmarkStart w:id="611" w:name="_Toc27867"/>
      <w:bookmarkStart w:id="612" w:name="_Toc31362"/>
      <w:r>
        <w:rPr>
          <w:rFonts w:hint="default" w:ascii="方正黑体_GBK" w:hAnsi="方正黑体_GBK" w:eastAsia="方正黑体_GBK" w:cs="方正黑体_GBK"/>
          <w:b w:val="0"/>
          <w:bCs w:val="0"/>
          <w:sz w:val="32"/>
          <w:szCs w:val="32"/>
          <w:lang w:val="en-US" w:eastAsia="zh-CN"/>
        </w:rPr>
        <w:t>四、火箭农场</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r>
        <w:rPr>
          <w:rFonts w:hint="default" w:ascii="方正黑体_GBK" w:hAnsi="方正黑体_GBK" w:eastAsia="方正黑体_GBK" w:cs="方正黑体_GBK"/>
          <w:b w:val="0"/>
          <w:bCs w:val="0"/>
          <w:sz w:val="32"/>
          <w:szCs w:val="32"/>
          <w:lang w:val="en-US" w:eastAsia="zh-CN"/>
        </w:rPr>
        <w:t>住房发展指引</w:t>
      </w:r>
    </w:p>
    <w:p w14:paraId="76C91B9B">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健全规划机制、创新土地政策，构建“城市体检—规划—实施”一体化流程，依据体检结果编制城市更新专项规划。开展完整社区试点，配齐养老、托育、便民商业等</w:t>
      </w:r>
      <w:r>
        <w:rPr>
          <w:rFonts w:hint="default" w:ascii="Times New Roman" w:hAnsi="Times New Roman" w:eastAsia="方正仿宋简体" w:cs="Times New Roman"/>
          <w:sz w:val="32"/>
          <w:szCs w:val="32"/>
          <w:lang w:val="en-US" w:eastAsia="zh-CN"/>
        </w:rPr>
        <w:t>公共服务</w:t>
      </w:r>
      <w:r>
        <w:rPr>
          <w:rFonts w:hint="default" w:ascii="Times New Roman" w:hAnsi="Times New Roman" w:eastAsia="方正仿宋简体" w:cs="Times New Roman"/>
          <w:sz w:val="32"/>
          <w:szCs w:val="32"/>
          <w:lang w:eastAsia="zh-CN"/>
        </w:rPr>
        <w:t>配套；完善社区市政</w:t>
      </w:r>
      <w:r>
        <w:rPr>
          <w:rFonts w:hint="default" w:ascii="Times New Roman" w:hAnsi="Times New Roman" w:eastAsia="方正仿宋简体" w:cs="Times New Roman"/>
          <w:sz w:val="32"/>
          <w:szCs w:val="32"/>
          <w:lang w:val="en-US" w:eastAsia="zh-CN"/>
        </w:rPr>
        <w:t>设施</w:t>
      </w:r>
      <w:r>
        <w:rPr>
          <w:rFonts w:hint="eastAsia" w:ascii="Times New Roman" w:hAnsi="Times New Roman" w:eastAsia="方正仿宋简体" w:cs="Times New Roman"/>
          <w:sz w:val="32"/>
          <w:szCs w:val="32"/>
          <w:lang w:eastAsia="zh-CN"/>
        </w:rPr>
        <w:t>、生</w:t>
      </w:r>
      <w:r>
        <w:rPr>
          <w:rFonts w:hint="default" w:ascii="Times New Roman" w:hAnsi="Times New Roman" w:eastAsia="方正仿宋简体" w:cs="Times New Roman"/>
          <w:sz w:val="32"/>
          <w:szCs w:val="32"/>
          <w:lang w:eastAsia="zh-CN"/>
        </w:rPr>
        <w:t>活无障碍设施、</w:t>
      </w:r>
      <w:r>
        <w:rPr>
          <w:rFonts w:hint="default" w:ascii="Times New Roman" w:hAnsi="Times New Roman" w:eastAsia="方正仿宋简体" w:cs="Times New Roman"/>
          <w:sz w:val="32"/>
          <w:szCs w:val="32"/>
          <w:lang w:val="en-US" w:eastAsia="zh-CN"/>
        </w:rPr>
        <w:t>公共活动空间</w:t>
      </w:r>
      <w:r>
        <w:rPr>
          <w:rFonts w:hint="default" w:ascii="Times New Roman" w:hAnsi="Times New Roman" w:eastAsia="方正仿宋简体" w:cs="Times New Roman"/>
          <w:sz w:val="32"/>
          <w:szCs w:val="32"/>
          <w:lang w:eastAsia="zh-CN"/>
        </w:rPr>
        <w:t>，优化居住环境。</w:t>
      </w:r>
      <w:r>
        <w:rPr>
          <w:rFonts w:hint="default" w:ascii="Times New Roman" w:hAnsi="Times New Roman" w:eastAsia="方正仿宋简体" w:cs="Times New Roman"/>
          <w:sz w:val="32"/>
          <w:szCs w:val="32"/>
        </w:rPr>
        <w:t>坚持兵地协同，</w:t>
      </w:r>
      <w:r>
        <w:rPr>
          <w:rFonts w:hint="default" w:ascii="Times New Roman" w:hAnsi="Times New Roman" w:eastAsia="方正仿宋简体" w:cs="Times New Roman"/>
          <w:sz w:val="32"/>
          <w:szCs w:val="32"/>
          <w:lang w:val="en-US" w:eastAsia="zh-CN"/>
        </w:rPr>
        <w:t>设施</w:t>
      </w:r>
      <w:r>
        <w:rPr>
          <w:rFonts w:hint="default" w:ascii="Times New Roman" w:hAnsi="Times New Roman" w:eastAsia="方正仿宋简体" w:cs="Times New Roman"/>
          <w:sz w:val="32"/>
          <w:szCs w:val="32"/>
        </w:rPr>
        <w:t>共建、共享</w:t>
      </w:r>
      <w:r>
        <w:rPr>
          <w:rFonts w:hint="default" w:ascii="Times New Roman" w:hAnsi="Times New Roman" w:eastAsia="方正仿宋简体" w:cs="Times New Roman"/>
          <w:sz w:val="32"/>
          <w:szCs w:val="32"/>
          <w:lang w:eastAsia="zh-CN"/>
        </w:rPr>
        <w:t>；坚持商品住房为主、保障房为辅，与哈密市形成差异化住房供给。</w:t>
      </w:r>
    </w:p>
    <w:p w14:paraId="072AC61A">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613" w:name="_Toc5500"/>
      <w:bookmarkStart w:id="614" w:name="_Toc10494"/>
      <w:bookmarkStart w:id="615" w:name="_Toc24139"/>
      <w:bookmarkStart w:id="616" w:name="_Toc11103"/>
      <w:bookmarkStart w:id="617" w:name="_Toc28120"/>
      <w:bookmarkStart w:id="618" w:name="_Toc32673"/>
      <w:bookmarkStart w:id="619" w:name="_Toc21421"/>
      <w:bookmarkStart w:id="620" w:name="_Toc7614"/>
      <w:r>
        <w:rPr>
          <w:rFonts w:hint="default" w:ascii="方正黑体_GBK" w:hAnsi="方正黑体_GBK" w:eastAsia="方正黑体_GBK" w:cs="方正黑体_GBK"/>
          <w:b w:val="0"/>
          <w:bCs w:val="0"/>
          <w:sz w:val="32"/>
          <w:szCs w:val="32"/>
          <w:lang w:val="en-US" w:eastAsia="zh-CN"/>
        </w:rPr>
        <w:t>五、红星二场</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Fonts w:hint="default" w:ascii="方正黑体_GBK" w:hAnsi="方正黑体_GBK" w:eastAsia="方正黑体_GBK" w:cs="方正黑体_GBK"/>
          <w:b w:val="0"/>
          <w:bCs w:val="0"/>
          <w:sz w:val="32"/>
          <w:szCs w:val="32"/>
          <w:lang w:val="en-US" w:eastAsia="zh-CN"/>
        </w:rPr>
        <w:t>住房发展指引</w:t>
      </w:r>
    </w:p>
    <w:p w14:paraId="6CEB806B">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依托城东轻工、城西光伏物流园区出台扶持政策，盘活存量房产，实施老旧管网改造，完善水暖配套。出台企业职工、新招录职工、退役军人购房优惠</w:t>
      </w:r>
      <w:r>
        <w:rPr>
          <w:rFonts w:hint="default" w:ascii="Times New Roman" w:hAnsi="Times New Roman" w:eastAsia="方正仿宋简体" w:cs="Times New Roman"/>
          <w:sz w:val="32"/>
          <w:szCs w:val="32"/>
          <w:lang w:val="en-US" w:eastAsia="zh-CN"/>
        </w:rPr>
        <w:t>政策</w:t>
      </w:r>
      <w:r>
        <w:rPr>
          <w:rFonts w:hint="default" w:ascii="Times New Roman" w:hAnsi="Times New Roman" w:eastAsia="方正仿宋简体" w:cs="Times New Roman"/>
          <w:sz w:val="32"/>
          <w:szCs w:val="32"/>
        </w:rPr>
        <w:t>，优化售房方案，规范不动产登记；依托红色旅游、观光农业发展民宿经济。</w:t>
      </w:r>
    </w:p>
    <w:p w14:paraId="0FEDEAC4">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621" w:name="_Toc9547"/>
      <w:bookmarkStart w:id="622" w:name="_Toc21022"/>
      <w:bookmarkStart w:id="623" w:name="_Toc23839"/>
      <w:bookmarkStart w:id="624" w:name="_Toc218434177"/>
      <w:bookmarkStart w:id="625" w:name="_Toc16522"/>
      <w:bookmarkStart w:id="626" w:name="_Toc2792"/>
      <w:bookmarkStart w:id="627" w:name="_Toc12216"/>
      <w:bookmarkStart w:id="628" w:name="_Toc28628"/>
      <w:bookmarkStart w:id="629" w:name="_Toc10716"/>
      <w:bookmarkStart w:id="630" w:name="_Toc10616"/>
      <w:bookmarkStart w:id="631" w:name="_Toc14930"/>
      <w:bookmarkStart w:id="632" w:name="_Toc16936"/>
      <w:bookmarkStart w:id="633" w:name="_Toc26331"/>
      <w:bookmarkStart w:id="634" w:name="_Toc15806"/>
      <w:bookmarkStart w:id="635" w:name="_Toc13652"/>
      <w:bookmarkStart w:id="636" w:name="_Toc23091"/>
      <w:bookmarkStart w:id="637" w:name="_Toc6583"/>
      <w:r>
        <w:rPr>
          <w:rFonts w:hint="default" w:ascii="方正黑体_GBK" w:hAnsi="方正黑体_GBK" w:eastAsia="方正黑体_GBK" w:cs="方正黑体_GBK"/>
          <w:b w:val="0"/>
          <w:bCs w:val="0"/>
          <w:sz w:val="32"/>
          <w:szCs w:val="32"/>
          <w:lang w:val="en-US" w:eastAsia="zh-CN"/>
        </w:rPr>
        <w:t>六、红星四场骆驿镇</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rPr>
          <w:rFonts w:hint="default" w:ascii="方正黑体_GBK" w:hAnsi="方正黑体_GBK" w:eastAsia="方正黑体_GBK" w:cs="方正黑体_GBK"/>
          <w:b w:val="0"/>
          <w:bCs w:val="0"/>
          <w:sz w:val="32"/>
          <w:szCs w:val="32"/>
          <w:lang w:val="en-US" w:eastAsia="zh-CN"/>
        </w:rPr>
        <w:t>住房发展指引</w:t>
      </w:r>
    </w:p>
    <w:p w14:paraId="372720BD">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定向盘活空置</w:t>
      </w:r>
      <w:bookmarkStart w:id="638" w:name="OLE_LINK9"/>
      <w:r>
        <w:rPr>
          <w:rFonts w:hint="default" w:ascii="Times New Roman" w:hAnsi="Times New Roman" w:eastAsia="方正仿宋简体" w:cs="Times New Roman"/>
          <w:sz w:val="32"/>
          <w:szCs w:val="32"/>
          <w:lang w:val="en-US" w:eastAsia="zh-CN"/>
        </w:rPr>
        <w:t>住</w:t>
      </w:r>
      <w:bookmarkEnd w:id="638"/>
      <w:r>
        <w:rPr>
          <w:rFonts w:hint="default" w:ascii="Times New Roman" w:hAnsi="Times New Roman" w:eastAsia="方正仿宋简体" w:cs="Times New Roman"/>
          <w:sz w:val="32"/>
          <w:szCs w:val="32"/>
        </w:rPr>
        <w:t>房匹配产业园区工人租赁需求</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实施空置</w:t>
      </w:r>
      <w:r>
        <w:rPr>
          <w:rFonts w:hint="default" w:ascii="Times New Roman" w:hAnsi="Times New Roman" w:eastAsia="方正仿宋简体" w:cs="Times New Roman"/>
          <w:sz w:val="32"/>
          <w:szCs w:val="32"/>
          <w:lang w:val="en-US" w:eastAsia="zh-CN"/>
        </w:rPr>
        <w:t>住</w:t>
      </w:r>
      <w:r>
        <w:rPr>
          <w:rFonts w:hint="default" w:ascii="Times New Roman" w:hAnsi="Times New Roman" w:eastAsia="方正仿宋简体" w:cs="Times New Roman"/>
          <w:sz w:val="32"/>
          <w:szCs w:val="32"/>
        </w:rPr>
        <w:t>房租赁服务，联动园区企业推行“企业团购租赁”方案</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优化产业园区住房供给政策</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对公共租赁住房放宽户籍限制，优先保障园区稳定就业职工、新引进技术人才</w:t>
      </w:r>
      <w:r>
        <w:rPr>
          <w:rFonts w:hint="default" w:ascii="Times New Roman" w:hAnsi="Times New Roman" w:eastAsia="方正仿宋简体" w:cs="Times New Roman"/>
          <w:sz w:val="32"/>
          <w:szCs w:val="32"/>
          <w:lang w:val="en-US" w:eastAsia="zh-CN"/>
        </w:rPr>
        <w:t>住房需求；匹配团场“十五五”产业发展形势，新建一批保障性租赁住房；</w:t>
      </w:r>
      <w:r>
        <w:rPr>
          <w:rFonts w:hint="default" w:ascii="Times New Roman" w:hAnsi="Times New Roman" w:eastAsia="方正仿宋简体" w:cs="Times New Roman"/>
          <w:sz w:val="32"/>
          <w:szCs w:val="32"/>
        </w:rPr>
        <w:t>推进老旧小区基础设施升级，重点改造管网、充电桩、无障碍出行和居家安全</w:t>
      </w:r>
      <w:r>
        <w:rPr>
          <w:rFonts w:hint="default" w:ascii="Times New Roman" w:hAnsi="Times New Roman" w:eastAsia="方正仿宋简体" w:cs="Times New Roman"/>
          <w:sz w:val="32"/>
          <w:szCs w:val="32"/>
          <w:lang w:val="en-US" w:eastAsia="zh-CN"/>
        </w:rPr>
        <w:t>设施</w:t>
      </w:r>
      <w:r>
        <w:rPr>
          <w:rFonts w:hint="default" w:ascii="Times New Roman" w:hAnsi="Times New Roman" w:eastAsia="方正仿宋简体" w:cs="Times New Roman"/>
          <w:sz w:val="32"/>
          <w:szCs w:val="32"/>
        </w:rPr>
        <w:t>等，提升老年人居住环境。</w:t>
      </w:r>
    </w:p>
    <w:p w14:paraId="5E873971">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639" w:name="_Toc10492"/>
      <w:bookmarkStart w:id="640" w:name="_Toc4053"/>
      <w:bookmarkStart w:id="641" w:name="_Toc29702"/>
      <w:bookmarkStart w:id="642" w:name="_Toc26883"/>
      <w:bookmarkStart w:id="643" w:name="_Toc15128"/>
      <w:bookmarkStart w:id="644" w:name="_Toc23375"/>
      <w:bookmarkStart w:id="645" w:name="_Toc15386"/>
      <w:bookmarkStart w:id="646" w:name="_Toc18332"/>
      <w:bookmarkStart w:id="647" w:name="_Toc24192"/>
      <w:bookmarkStart w:id="648" w:name="_Toc15979"/>
      <w:bookmarkStart w:id="649" w:name="_Toc26090"/>
      <w:bookmarkStart w:id="650" w:name="_Toc218434178"/>
      <w:bookmarkStart w:id="651" w:name="_Toc27285"/>
      <w:bookmarkStart w:id="652" w:name="_Toc6695"/>
      <w:bookmarkStart w:id="653" w:name="_Toc17472"/>
      <w:bookmarkStart w:id="654" w:name="_Toc23413"/>
      <w:bookmarkStart w:id="655" w:name="_Toc5259"/>
      <w:r>
        <w:rPr>
          <w:rFonts w:hint="default" w:ascii="方正黑体_GBK" w:hAnsi="方正黑体_GBK" w:eastAsia="方正黑体_GBK" w:cs="方正黑体_GBK"/>
          <w:b w:val="0"/>
          <w:bCs w:val="0"/>
          <w:sz w:val="32"/>
          <w:szCs w:val="32"/>
          <w:lang w:val="en-US" w:eastAsia="zh-CN"/>
        </w:rPr>
        <w:t>七、柳树泉农场</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r>
        <w:rPr>
          <w:rFonts w:hint="default" w:ascii="方正黑体_GBK" w:hAnsi="方正黑体_GBK" w:eastAsia="方正黑体_GBK" w:cs="方正黑体_GBK"/>
          <w:b w:val="0"/>
          <w:bCs w:val="0"/>
          <w:sz w:val="32"/>
          <w:szCs w:val="32"/>
          <w:lang w:val="en-US" w:eastAsia="zh-CN"/>
        </w:rPr>
        <w:t>住房发展指引</w:t>
      </w:r>
    </w:p>
    <w:p w14:paraId="6AEC834B">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配套建设工业园生活区；改造老旧小区，提升住房居住环境和品质；推进棚户区改造；完善社区养老与托幼配套设施与服务。</w:t>
      </w:r>
    </w:p>
    <w:p w14:paraId="7095AD72">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656" w:name="_Toc18137"/>
      <w:bookmarkStart w:id="657" w:name="_Toc28554"/>
      <w:bookmarkStart w:id="658" w:name="_Toc10991"/>
      <w:bookmarkStart w:id="659" w:name="_Toc22119"/>
      <w:bookmarkStart w:id="660" w:name="_Toc23695"/>
      <w:bookmarkStart w:id="661" w:name="_Toc12474"/>
      <w:bookmarkStart w:id="662" w:name="_Toc7619"/>
      <w:bookmarkStart w:id="663" w:name="_Toc23898"/>
      <w:bookmarkStart w:id="664" w:name="_Toc2934"/>
      <w:bookmarkStart w:id="665" w:name="_Toc23110"/>
      <w:bookmarkStart w:id="666" w:name="_Toc14097"/>
      <w:bookmarkStart w:id="667" w:name="_Toc25480"/>
      <w:bookmarkStart w:id="668" w:name="_Toc20265"/>
      <w:bookmarkStart w:id="669" w:name="_Toc31808"/>
      <w:bookmarkStart w:id="670" w:name="_Toc218434179"/>
      <w:bookmarkStart w:id="671" w:name="_Toc15622"/>
      <w:bookmarkStart w:id="672" w:name="_Toc9815"/>
      <w:r>
        <w:rPr>
          <w:rFonts w:hint="default" w:ascii="方正黑体_GBK" w:hAnsi="方正黑体_GBK" w:eastAsia="方正黑体_GBK" w:cs="方正黑体_GBK"/>
          <w:b w:val="0"/>
          <w:bCs w:val="0"/>
          <w:sz w:val="32"/>
          <w:szCs w:val="32"/>
          <w:lang w:val="en-US" w:eastAsia="zh-CN"/>
        </w:rPr>
        <w:t>八、红山农场住房空间指引</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7C3D7641">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十五五”时期，红山农场将继续巩固和完善城镇中心空间布局与配套设施，主要以商业、餐饮、休闲娱乐、酒店和两老一小等设施为主。依托草原风景生态边境的优势，发展旅游产业，配套高端酒店。依靠红山产业园的发展，盘活空置住房；完成红山农场城镇棚户区改造项目，提升社区环境和住房品质；完善社区养老服务设施。</w:t>
      </w:r>
    </w:p>
    <w:p w14:paraId="5351787E">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673" w:name="_Toc4291"/>
      <w:bookmarkStart w:id="674" w:name="_Toc14614"/>
      <w:bookmarkStart w:id="675" w:name="_Toc31031"/>
      <w:bookmarkStart w:id="676" w:name="_Toc2840"/>
      <w:bookmarkStart w:id="677" w:name="_Toc2129"/>
      <w:bookmarkStart w:id="678" w:name="_Toc10543"/>
      <w:bookmarkStart w:id="679" w:name="_Toc5898"/>
      <w:bookmarkStart w:id="680" w:name="_Toc16261"/>
      <w:bookmarkStart w:id="681" w:name="_Toc6793"/>
      <w:bookmarkStart w:id="682" w:name="_Toc27715"/>
      <w:bookmarkStart w:id="683" w:name="_Toc8576"/>
      <w:bookmarkStart w:id="684" w:name="_Toc1740"/>
      <w:bookmarkStart w:id="685" w:name="_Toc218434180"/>
      <w:bookmarkStart w:id="686" w:name="_Toc28808"/>
      <w:bookmarkStart w:id="687" w:name="_Toc24699"/>
      <w:bookmarkStart w:id="688" w:name="_Toc6112"/>
      <w:bookmarkStart w:id="689" w:name="_Toc111"/>
      <w:r>
        <w:rPr>
          <w:rFonts w:hint="default" w:ascii="方正黑体_GBK" w:hAnsi="方正黑体_GBK" w:eastAsia="方正黑体_GBK" w:cs="方正黑体_GBK"/>
          <w:b w:val="0"/>
          <w:bCs w:val="0"/>
          <w:sz w:val="32"/>
          <w:szCs w:val="32"/>
          <w:lang w:val="en-US" w:eastAsia="zh-CN"/>
        </w:rPr>
        <w:t>九、淖毛湖农场住房空间指引</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 w14:paraId="364ED105">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rPr>
        <w:t>“十五五”时期，淖毛湖农场将继续完善城镇功能配置，依托工业园区的优势，发展服务业。提升城市管理水平，实时监测人口变化，为“十五五”人口流入做好充足准备</w:t>
      </w:r>
      <w:r>
        <w:rPr>
          <w:rFonts w:hint="default" w:ascii="Times New Roman" w:hAnsi="Times New Roman" w:eastAsia="方正仿宋简体" w:cs="Times New Roman"/>
          <w:sz w:val="32"/>
          <w:szCs w:val="32"/>
          <w:lang w:eastAsia="zh-CN"/>
        </w:rPr>
        <w:t>。</w:t>
      </w:r>
    </w:p>
    <w:p w14:paraId="47FAE1AB">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lang w:val="en-US" w:eastAsia="zh-CN"/>
        </w:rPr>
        <w:t>积极</w:t>
      </w:r>
      <w:r>
        <w:rPr>
          <w:rFonts w:hint="default" w:ascii="Times New Roman" w:hAnsi="Times New Roman" w:eastAsia="方正仿宋简体" w:cs="Times New Roman"/>
          <w:sz w:val="32"/>
          <w:szCs w:val="32"/>
        </w:rPr>
        <w:t>推进新时代兵地融合工作，</w:t>
      </w:r>
      <w:r>
        <w:rPr>
          <w:rFonts w:hint="default" w:ascii="Times New Roman" w:hAnsi="Times New Roman" w:eastAsia="方正仿宋简体" w:cs="Times New Roman"/>
          <w:sz w:val="32"/>
          <w:szCs w:val="32"/>
          <w:lang w:val="en-US" w:eastAsia="zh-CN"/>
        </w:rPr>
        <w:t>以</w:t>
      </w:r>
      <w:r>
        <w:rPr>
          <w:rFonts w:hint="default" w:ascii="Times New Roman" w:hAnsi="Times New Roman" w:eastAsia="方正仿宋简体" w:cs="Times New Roman"/>
          <w:sz w:val="32"/>
          <w:szCs w:val="32"/>
        </w:rPr>
        <w:t>大石头城片区</w:t>
      </w:r>
      <w:r>
        <w:rPr>
          <w:rFonts w:hint="default" w:ascii="Times New Roman" w:hAnsi="Times New Roman" w:eastAsia="方正仿宋简体" w:cs="Times New Roman"/>
          <w:sz w:val="32"/>
          <w:szCs w:val="32"/>
          <w:lang w:val="en-US" w:eastAsia="zh-CN"/>
        </w:rPr>
        <w:t>国土空间规划为依据</w:t>
      </w:r>
      <w:r>
        <w:rPr>
          <w:rFonts w:hint="default" w:ascii="Times New Roman" w:hAnsi="Times New Roman" w:eastAsia="方正仿宋简体" w:cs="Times New Roman"/>
          <w:sz w:val="32"/>
          <w:szCs w:val="32"/>
        </w:rPr>
        <w:t>，</w:t>
      </w:r>
      <w:r>
        <w:rPr>
          <w:rFonts w:hint="default" w:ascii="Times New Roman" w:hAnsi="Times New Roman" w:eastAsia="方正仿宋简体" w:cs="Times New Roman"/>
          <w:sz w:val="32"/>
          <w:szCs w:val="32"/>
          <w:lang w:val="en-US" w:eastAsia="zh-CN"/>
        </w:rPr>
        <w:t>全面开展淖毛湖农场大石头城片区详细规划，</w:t>
      </w:r>
      <w:r>
        <w:rPr>
          <w:rFonts w:hint="default" w:ascii="Times New Roman" w:hAnsi="Times New Roman" w:eastAsia="方正仿宋简体" w:cs="Times New Roman"/>
          <w:sz w:val="32"/>
          <w:szCs w:val="32"/>
        </w:rPr>
        <w:t>科学指导大石头城片区建设</w:t>
      </w:r>
      <w:r>
        <w:rPr>
          <w:rFonts w:hint="default" w:ascii="Times New Roman" w:hAnsi="Times New Roman" w:eastAsia="方正仿宋简体" w:cs="Times New Roman"/>
          <w:sz w:val="32"/>
          <w:szCs w:val="32"/>
          <w:lang w:eastAsia="zh-CN"/>
        </w:rPr>
        <w:t>。</w:t>
      </w:r>
      <w:bookmarkStart w:id="690" w:name="_Toc196403190"/>
      <w:bookmarkStart w:id="691" w:name="_Toc30987"/>
      <w:bookmarkStart w:id="692" w:name="_Toc19223"/>
      <w:bookmarkStart w:id="693" w:name="_Toc25981"/>
      <w:bookmarkStart w:id="694" w:name="_Toc25443"/>
      <w:bookmarkStart w:id="695" w:name="_Toc19142"/>
      <w:bookmarkStart w:id="696" w:name="_Toc218434181"/>
      <w:bookmarkStart w:id="697" w:name="_Toc9055"/>
    </w:p>
    <w:p w14:paraId="5C7C8533">
      <w:pPr>
        <w:keepNext w:val="0"/>
        <w:keepLines w:val="0"/>
        <w:pageBreakBefore w:val="0"/>
        <w:kinsoku/>
        <w:wordWrap/>
        <w:overflowPunct/>
        <w:topLinePunct w:val="0"/>
        <w:bidi w:val="0"/>
        <w:snapToGrid/>
        <w:spacing w:line="560" w:lineRule="exact"/>
        <w:jc w:val="center"/>
        <w:textAlignment w:val="auto"/>
        <w:rPr>
          <w:rFonts w:hint="default" w:ascii="Times New Roman" w:hAnsi="Times New Roman" w:eastAsia="方正黑体_GBK" w:cs="Times New Roman"/>
          <w:b w:val="0"/>
          <w:bCs w:val="0"/>
          <w:sz w:val="32"/>
          <w:szCs w:val="32"/>
          <w:lang w:val="en-US" w:eastAsia="zh-CN"/>
        </w:rPr>
      </w:pPr>
      <w:bookmarkStart w:id="698" w:name="_Toc23305"/>
      <w:bookmarkStart w:id="699" w:name="_Toc19005"/>
      <w:bookmarkStart w:id="700" w:name="_Toc25385"/>
      <w:bookmarkStart w:id="701" w:name="_Toc17428"/>
      <w:bookmarkStart w:id="702" w:name="_Toc11121"/>
      <w:bookmarkStart w:id="703" w:name="_Toc25456"/>
      <w:bookmarkStart w:id="704" w:name="_Toc5961"/>
      <w:bookmarkStart w:id="705" w:name="_Toc28539"/>
      <w:bookmarkStart w:id="706" w:name="_Toc23659"/>
      <w:bookmarkStart w:id="707" w:name="_Toc12636"/>
      <w:r>
        <w:rPr>
          <w:rFonts w:hint="default" w:ascii="Times New Roman" w:hAnsi="Times New Roman" w:eastAsia="方正黑体_GBK" w:cs="Times New Roman"/>
          <w:b w:val="0"/>
          <w:bCs w:val="0"/>
          <w:sz w:val="32"/>
          <w:szCs w:val="32"/>
          <w:lang w:val="en-US" w:eastAsia="zh-CN"/>
        </w:rPr>
        <w:t>第八章 要素联动</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14:paraId="143A2E57">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708" w:name="_Toc18005"/>
      <w:bookmarkStart w:id="709" w:name="_Toc12777"/>
      <w:bookmarkStart w:id="710" w:name="_Toc15220"/>
      <w:bookmarkStart w:id="711" w:name="_Toc3498"/>
      <w:bookmarkStart w:id="712" w:name="_Toc24404"/>
      <w:bookmarkStart w:id="713" w:name="_Toc10865"/>
      <w:bookmarkStart w:id="714" w:name="_Toc23676"/>
      <w:bookmarkStart w:id="715" w:name="_Toc2739"/>
      <w:bookmarkStart w:id="716" w:name="_Toc610"/>
      <w:bookmarkStart w:id="717" w:name="_Toc17493"/>
      <w:bookmarkStart w:id="718" w:name="_Toc7851"/>
      <w:bookmarkStart w:id="719" w:name="_Toc6354"/>
      <w:bookmarkStart w:id="720" w:name="_Toc218434182"/>
      <w:bookmarkStart w:id="721" w:name="_Toc27927"/>
      <w:bookmarkStart w:id="722" w:name="_Toc28491"/>
      <w:bookmarkStart w:id="723" w:name="_Toc17424"/>
      <w:bookmarkStart w:id="724" w:name="_Toc23738"/>
      <w:r>
        <w:rPr>
          <w:rFonts w:hint="default" w:ascii="方正黑体_GBK" w:hAnsi="方正黑体_GBK" w:eastAsia="方正黑体_GBK" w:cs="方正黑体_GBK"/>
          <w:b w:val="0"/>
          <w:bCs w:val="0"/>
          <w:sz w:val="32"/>
          <w:szCs w:val="32"/>
          <w:lang w:val="en-US" w:eastAsia="zh-CN"/>
        </w:rPr>
        <w:t>一、壮大人口规模</w:t>
      </w:r>
      <w:bookmarkEnd w:id="708"/>
    </w:p>
    <w:p w14:paraId="66DB2C61">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val="en-US" w:eastAsia="zh-CN"/>
        </w:rPr>
      </w:pPr>
      <w:r>
        <w:rPr>
          <w:rFonts w:hint="default" w:ascii="方正楷体简体" w:hAnsi="方正楷体简体" w:eastAsia="方正楷体简体" w:cs="方正楷体简体"/>
          <w:b w:val="0"/>
          <w:bCs/>
          <w:sz w:val="32"/>
          <w:szCs w:val="32"/>
          <w:lang w:val="en-US" w:eastAsia="zh-CN"/>
        </w:rPr>
        <w:t>（一）以政策吸引人</w:t>
      </w:r>
    </w:p>
    <w:p w14:paraId="11A37C55">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b w:val="0"/>
          <w:bCs/>
          <w:sz w:val="32"/>
          <w:szCs w:val="32"/>
        </w:rPr>
        <w:t>适时推出契税财政补贴、装修入住补贴、水电暖及物业费补贴等优惠政策，</w:t>
      </w:r>
      <w:r>
        <w:rPr>
          <w:rFonts w:hint="default" w:ascii="Times New Roman" w:hAnsi="Times New Roman" w:eastAsia="方正仿宋简体" w:cs="Times New Roman"/>
          <w:b w:val="0"/>
          <w:bCs/>
          <w:sz w:val="32"/>
          <w:szCs w:val="32"/>
          <w:lang w:val="en-US" w:eastAsia="zh-CN"/>
        </w:rPr>
        <w:t>吸引人口聚集</w:t>
      </w:r>
      <w:r>
        <w:rPr>
          <w:rFonts w:hint="default" w:ascii="Times New Roman" w:hAnsi="Times New Roman" w:eastAsia="方正仿宋简体" w:cs="Times New Roman"/>
          <w:b w:val="0"/>
          <w:bCs/>
          <w:sz w:val="32"/>
          <w:szCs w:val="32"/>
          <w:lang w:eastAsia="zh-CN"/>
        </w:rPr>
        <w:t>。</w:t>
      </w:r>
    </w:p>
    <w:p w14:paraId="20D77695">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val="en-US" w:eastAsia="zh-CN"/>
        </w:rPr>
      </w:pPr>
      <w:r>
        <w:rPr>
          <w:rFonts w:hint="default" w:ascii="方正楷体简体" w:hAnsi="方正楷体简体" w:eastAsia="方正楷体简体" w:cs="方正楷体简体"/>
          <w:b w:val="0"/>
          <w:bCs/>
          <w:sz w:val="32"/>
          <w:szCs w:val="32"/>
          <w:lang w:val="en-US" w:eastAsia="zh-CN"/>
        </w:rPr>
        <w:t>（二）以产业吸引人</w:t>
      </w:r>
    </w:p>
    <w:p w14:paraId="77219989">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关注企业生活区的建设</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积极引导大型企业将生活区设在新星市</w:t>
      </w:r>
      <w:r>
        <w:rPr>
          <w:rFonts w:hint="default" w:ascii="Times New Roman" w:hAnsi="Times New Roman" w:eastAsia="方正仿宋简体" w:cs="Times New Roman"/>
          <w:sz w:val="32"/>
          <w:szCs w:val="32"/>
          <w:lang w:val="en-US" w:eastAsia="zh-CN"/>
        </w:rPr>
        <w:t>中心城区</w:t>
      </w:r>
      <w:r>
        <w:rPr>
          <w:rFonts w:hint="default" w:ascii="Times New Roman" w:hAnsi="Times New Roman" w:eastAsia="方正仿宋简体" w:cs="Times New Roman"/>
          <w:sz w:val="32"/>
          <w:szCs w:val="32"/>
        </w:rPr>
        <w:t>，鼓励</w:t>
      </w:r>
      <w:r>
        <w:rPr>
          <w:rFonts w:hint="default" w:ascii="Times New Roman" w:hAnsi="Times New Roman" w:eastAsia="方正仿宋简体" w:cs="Times New Roman"/>
          <w:sz w:val="32"/>
          <w:szCs w:val="32"/>
          <w:lang w:val="en-US" w:eastAsia="zh-CN"/>
        </w:rPr>
        <w:t>微小企业</w:t>
      </w:r>
      <w:r>
        <w:rPr>
          <w:rFonts w:hint="default" w:ascii="Times New Roman" w:hAnsi="Times New Roman" w:eastAsia="方正仿宋简体" w:cs="Times New Roman"/>
          <w:sz w:val="32"/>
          <w:szCs w:val="32"/>
        </w:rPr>
        <w:t>通过联合设立的方式运作。</w:t>
      </w:r>
    </w:p>
    <w:p w14:paraId="3810A8C5">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楷体简体" w:hAnsi="方正楷体简体" w:eastAsia="方正楷体简体" w:cs="方正楷体简体"/>
          <w:b w:val="0"/>
          <w:bCs/>
          <w:sz w:val="32"/>
          <w:szCs w:val="32"/>
          <w:lang w:val="en-US" w:eastAsia="zh-CN"/>
        </w:rPr>
      </w:pPr>
      <w:r>
        <w:rPr>
          <w:rFonts w:hint="default" w:ascii="方正楷体简体" w:hAnsi="方正楷体简体" w:eastAsia="方正楷体简体" w:cs="方正楷体简体"/>
          <w:b w:val="0"/>
          <w:bCs/>
          <w:sz w:val="32"/>
          <w:szCs w:val="32"/>
          <w:lang w:val="en-US" w:eastAsia="zh-CN"/>
        </w:rPr>
        <w:t>（三）以环境吸引人</w:t>
      </w:r>
    </w:p>
    <w:p w14:paraId="296BEEEB">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lang w:eastAsia="zh-CN"/>
        </w:rPr>
        <w:t>加强城市基础设施配套建设，开放周边绿地，推进园林城市配套建设，以环境吸引人。</w:t>
      </w:r>
    </w:p>
    <w:p w14:paraId="6001CBE6">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725" w:name="_Toc24222"/>
      <w:r>
        <w:rPr>
          <w:rFonts w:hint="default" w:ascii="方正黑体_GBK" w:hAnsi="方正黑体_GBK" w:eastAsia="方正黑体_GBK" w:cs="方正黑体_GBK"/>
          <w:b w:val="0"/>
          <w:bCs w:val="0"/>
          <w:sz w:val="32"/>
          <w:szCs w:val="32"/>
          <w:lang w:val="en-US" w:eastAsia="zh-CN"/>
        </w:rPr>
        <w:t>二、完善商品房监管与保障房管理机制</w:t>
      </w:r>
      <w:bookmarkEnd w:id="725"/>
    </w:p>
    <w:p w14:paraId="7C0AB617">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b w:val="0"/>
          <w:bCs/>
          <w:sz w:val="32"/>
          <w:szCs w:val="32"/>
          <w:lang w:val="en-US" w:eastAsia="zh-CN"/>
        </w:rPr>
      </w:pPr>
      <w:r>
        <w:rPr>
          <w:rFonts w:hint="default" w:ascii="Times New Roman" w:hAnsi="Times New Roman" w:eastAsia="方正仿宋简体" w:cs="Times New Roman"/>
          <w:b w:val="0"/>
          <w:bCs/>
          <w:sz w:val="32"/>
          <w:szCs w:val="32"/>
          <w:lang w:val="en-US" w:eastAsia="zh-CN"/>
        </w:rPr>
        <w:t>规范商品房开发、销售、资金、质量、交付、物业全流程市场行为，压实房企主体责任，防范化解烂尾、质量缺陷等行业风险。</w:t>
      </w:r>
    </w:p>
    <w:p w14:paraId="44372C1C">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b w:val="0"/>
          <w:bCs/>
          <w:sz w:val="32"/>
          <w:szCs w:val="32"/>
          <w:lang w:val="en-US" w:eastAsia="zh-CN"/>
        </w:rPr>
      </w:pPr>
      <w:r>
        <w:rPr>
          <w:rFonts w:hint="default" w:ascii="Times New Roman" w:hAnsi="Times New Roman" w:eastAsia="方正仿宋简体" w:cs="Times New Roman"/>
          <w:b w:val="0"/>
          <w:bCs/>
          <w:sz w:val="32"/>
          <w:szCs w:val="32"/>
          <w:lang w:val="en-US" w:eastAsia="zh-CN"/>
        </w:rPr>
        <w:t>优化保障性住房规划、建设、分配、运营全周期管理模式，精准兜底中低收入群体、新市民、青年人住房需求。</w:t>
      </w:r>
    </w:p>
    <w:p w14:paraId="085CD911">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b w:val="0"/>
          <w:bCs/>
          <w:sz w:val="32"/>
          <w:szCs w:val="32"/>
          <w:lang w:val="en-US" w:eastAsia="zh-CN"/>
        </w:rPr>
      </w:pPr>
      <w:r>
        <w:rPr>
          <w:rFonts w:hint="default" w:ascii="Times New Roman" w:hAnsi="Times New Roman" w:eastAsia="方正仿宋简体" w:cs="Times New Roman"/>
          <w:b w:val="0"/>
          <w:bCs/>
          <w:sz w:val="32"/>
          <w:szCs w:val="32"/>
          <w:lang w:val="en-US" w:eastAsia="zh-CN"/>
        </w:rPr>
        <w:t>强化多部门协同联动、数字化赋能、信用奖惩约束，补齐监管短板，破解管理难点，推动住房行业高质量可持续发展。</w:t>
      </w:r>
    </w:p>
    <w:p w14:paraId="1804CA33">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726" w:name="_Toc14738"/>
      <w:r>
        <w:rPr>
          <w:rFonts w:hint="default" w:ascii="方正黑体_GBK" w:hAnsi="方正黑体_GBK" w:eastAsia="方正黑体_GBK" w:cs="方正黑体_GBK"/>
          <w:b w:val="0"/>
          <w:bCs w:val="0"/>
          <w:sz w:val="32"/>
          <w:szCs w:val="32"/>
          <w:lang w:val="en-US" w:eastAsia="zh-CN"/>
        </w:rPr>
        <w:t>三、优化居住用地供应和管理</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6"/>
    </w:p>
    <w:p w14:paraId="2021983D">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b w:val="0"/>
          <w:bCs/>
          <w:sz w:val="32"/>
          <w:szCs w:val="32"/>
          <w:lang w:val="en-US" w:eastAsia="zh-CN"/>
        </w:rPr>
      </w:pPr>
      <w:bookmarkStart w:id="727" w:name="_Toc196403192"/>
      <w:bookmarkStart w:id="728" w:name="_Hlk196399288"/>
      <w:r>
        <w:rPr>
          <w:rFonts w:hint="default" w:ascii="Times New Roman" w:hAnsi="Times New Roman" w:eastAsia="方正仿宋简体" w:cs="Times New Roman"/>
          <w:b w:val="0"/>
          <w:bCs/>
          <w:sz w:val="32"/>
          <w:szCs w:val="32"/>
          <w:lang w:val="en-US" w:eastAsia="zh-CN"/>
        </w:rPr>
        <w:t>构建多元化供地格局；合理确定土地供应时序；健全租赁住房用地支持政策。</w:t>
      </w:r>
    </w:p>
    <w:p w14:paraId="5FD8AB3A">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729" w:name="_Toc3247"/>
      <w:bookmarkStart w:id="730" w:name="_Toc8270"/>
      <w:bookmarkStart w:id="731" w:name="_Toc31503"/>
      <w:bookmarkStart w:id="732" w:name="_Toc5792"/>
      <w:bookmarkStart w:id="733" w:name="_Toc681"/>
      <w:bookmarkStart w:id="734" w:name="_Toc23697"/>
      <w:bookmarkStart w:id="735" w:name="_Toc218434183"/>
      <w:bookmarkStart w:id="736" w:name="_Toc2625"/>
      <w:bookmarkStart w:id="737" w:name="_Toc27157"/>
      <w:bookmarkStart w:id="738" w:name="_Toc14255"/>
      <w:bookmarkStart w:id="739" w:name="_Toc20611"/>
      <w:bookmarkStart w:id="740" w:name="_Toc30094"/>
      <w:bookmarkStart w:id="741" w:name="_Toc23691"/>
      <w:bookmarkStart w:id="742" w:name="_Toc13388"/>
      <w:bookmarkStart w:id="743" w:name="_Toc27123"/>
      <w:bookmarkStart w:id="744" w:name="_Toc31358"/>
      <w:bookmarkStart w:id="745" w:name="_Toc19637"/>
      <w:r>
        <w:rPr>
          <w:rFonts w:hint="default" w:ascii="方正黑体_GBK" w:hAnsi="方正黑体_GBK" w:eastAsia="方正黑体_GBK" w:cs="方正黑体_GBK"/>
          <w:b w:val="0"/>
          <w:bCs w:val="0"/>
          <w:sz w:val="32"/>
          <w:szCs w:val="32"/>
          <w:lang w:val="en-US" w:eastAsia="zh-CN"/>
        </w:rPr>
        <w:t>四、金融管理</w:t>
      </w:r>
      <w:bookmarkEnd w:id="727"/>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bookmarkEnd w:id="728"/>
    <w:p w14:paraId="2732603A">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640" w:firstLineChars="200"/>
        <w:textAlignment w:val="auto"/>
        <w:rPr>
          <w:rFonts w:hint="default" w:ascii="Times New Roman" w:hAnsi="Times New Roman" w:eastAsia="方正仿宋简体" w:cs="Times New Roman"/>
          <w:kern w:val="2"/>
          <w:sz w:val="32"/>
          <w:szCs w:val="32"/>
          <w:lang w:val="en-US" w:eastAsia="zh-CN" w:bidi="ar-SA"/>
        </w:rPr>
      </w:pPr>
      <w:r>
        <w:rPr>
          <w:rFonts w:hint="default" w:ascii="Times New Roman" w:hAnsi="Times New Roman" w:eastAsia="方正仿宋简体" w:cs="Times New Roman"/>
          <w:kern w:val="2"/>
          <w:sz w:val="32"/>
          <w:szCs w:val="32"/>
          <w:lang w:val="en-US" w:eastAsia="zh-CN" w:bidi="ar-SA"/>
        </w:rPr>
        <w:t>持续实施房地产金融宏观监管，合理控制房地产贷款占比。加强对房地产企业融资行为的全口径监测与逆周期调节。在个人住房贷款方面，加强总量调控与还款能力审查。此外，强化住建、金融、自然资源等部门信息共享与联合监管，落地金融调控政策，促进房地产市场平稳健康发展。</w:t>
      </w:r>
    </w:p>
    <w:p w14:paraId="6D4480EC">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746" w:name="_Toc1307"/>
      <w:bookmarkStart w:id="747" w:name="_Toc19155"/>
      <w:bookmarkStart w:id="748" w:name="_Toc17664"/>
      <w:bookmarkStart w:id="749" w:name="_Toc6774"/>
      <w:bookmarkStart w:id="750" w:name="_Toc23622"/>
      <w:bookmarkStart w:id="751" w:name="_Toc5383"/>
      <w:bookmarkStart w:id="752" w:name="_Toc11306"/>
      <w:bookmarkStart w:id="753" w:name="_Toc10827"/>
      <w:bookmarkStart w:id="754" w:name="_Toc22463"/>
      <w:bookmarkStart w:id="755" w:name="_Toc24157"/>
      <w:bookmarkStart w:id="756" w:name="_Toc8803"/>
      <w:bookmarkStart w:id="757" w:name="_Toc23742"/>
      <w:bookmarkStart w:id="758" w:name="_Toc21251"/>
      <w:bookmarkStart w:id="759" w:name="_Toc31574"/>
      <w:bookmarkStart w:id="760" w:name="_Toc21734"/>
      <w:bookmarkStart w:id="761" w:name="_Toc25132"/>
      <w:bookmarkStart w:id="762" w:name="_Toc218434184"/>
      <w:r>
        <w:rPr>
          <w:rFonts w:hint="default" w:ascii="方正黑体_GBK" w:hAnsi="方正黑体_GBK" w:eastAsia="方正黑体_GBK" w:cs="方正黑体_GBK"/>
          <w:b w:val="0"/>
          <w:bCs w:val="0"/>
          <w:sz w:val="32"/>
          <w:szCs w:val="32"/>
          <w:lang w:val="en-US" w:eastAsia="zh-CN"/>
        </w:rPr>
        <w:t>五、财税支持</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7F99C4B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简体" w:cs="Times New Roman"/>
          <w:kern w:val="2"/>
          <w:sz w:val="32"/>
          <w:szCs w:val="32"/>
          <w:lang w:val="en-US" w:eastAsia="zh-CN" w:bidi="ar-SA"/>
        </w:rPr>
      </w:pPr>
      <w:r>
        <w:rPr>
          <w:rFonts w:hint="default" w:ascii="Times New Roman" w:hAnsi="Times New Roman" w:eastAsia="方正仿宋简体" w:cs="Times New Roman"/>
          <w:kern w:val="2"/>
          <w:sz w:val="32"/>
          <w:szCs w:val="32"/>
          <w:lang w:val="en-US" w:eastAsia="zh-CN" w:bidi="ar-SA"/>
        </w:rPr>
        <w:t>完善住房领域的财税支持政策，整合各类资金设立住房保障发展专项基金，重点支持保障性住房及棚户区改造等项目；引导社会资本参与住房保障体系建设，提高财政资金使用效益；积极落实兵团商品住房消费补贴政策，结合师市中心城区</w:t>
      </w:r>
      <w:bookmarkStart w:id="860" w:name="_GoBack"/>
      <w:bookmarkEnd w:id="860"/>
      <w:r>
        <w:rPr>
          <w:rFonts w:hint="default" w:ascii="Times New Roman" w:hAnsi="Times New Roman" w:eastAsia="方正仿宋简体" w:cs="Times New Roman"/>
          <w:kern w:val="2"/>
          <w:sz w:val="32"/>
          <w:szCs w:val="32"/>
          <w:lang w:val="en-US" w:eastAsia="zh-CN" w:bidi="ar-SA"/>
        </w:rPr>
        <w:t>战略，实施差异化购房补贴措施。</w:t>
      </w:r>
    </w:p>
    <w:p w14:paraId="5EF0208E">
      <w:pPr>
        <w:keepNext w:val="0"/>
        <w:keepLines w:val="0"/>
        <w:pageBreakBefore w:val="0"/>
        <w:kinsoku/>
        <w:wordWrap/>
        <w:overflowPunct/>
        <w:topLinePunct w:val="0"/>
        <w:bidi w:val="0"/>
        <w:snapToGrid/>
        <w:spacing w:line="560" w:lineRule="exact"/>
        <w:jc w:val="center"/>
        <w:textAlignment w:val="auto"/>
        <w:rPr>
          <w:rFonts w:hint="default" w:ascii="Times New Roman" w:hAnsi="Times New Roman" w:eastAsia="方正黑体_GBK" w:cs="Times New Roman"/>
          <w:b w:val="0"/>
          <w:bCs w:val="0"/>
          <w:sz w:val="32"/>
          <w:szCs w:val="32"/>
          <w:lang w:val="en-US" w:eastAsia="zh-CN"/>
        </w:rPr>
      </w:pPr>
      <w:bookmarkStart w:id="763" w:name="_Toc7224"/>
      <w:bookmarkStart w:id="764" w:name="_Toc23817"/>
      <w:bookmarkStart w:id="765" w:name="_Toc218434185"/>
      <w:bookmarkStart w:id="766" w:name="_Toc28526"/>
      <w:bookmarkStart w:id="767" w:name="_Toc10215"/>
      <w:bookmarkStart w:id="768" w:name="_Toc28317"/>
      <w:bookmarkStart w:id="769" w:name="_Toc24292"/>
      <w:bookmarkStart w:id="770" w:name="_Toc7461"/>
      <w:bookmarkStart w:id="771" w:name="_Toc6470"/>
      <w:bookmarkStart w:id="772" w:name="_Toc16073"/>
      <w:bookmarkStart w:id="773" w:name="_Toc20744"/>
      <w:bookmarkStart w:id="774" w:name="_Toc18426"/>
      <w:bookmarkStart w:id="775" w:name="_Toc7753"/>
      <w:bookmarkStart w:id="776" w:name="_Toc18230"/>
      <w:bookmarkStart w:id="777" w:name="_Toc24506"/>
      <w:bookmarkStart w:id="778" w:name="_Toc25396"/>
      <w:bookmarkStart w:id="779" w:name="_Toc12639"/>
      <w:bookmarkStart w:id="780" w:name="_Toc196403194"/>
      <w:r>
        <w:rPr>
          <w:rFonts w:hint="default" w:ascii="Times New Roman" w:hAnsi="Times New Roman" w:eastAsia="方正黑体_GBK" w:cs="Times New Roman"/>
          <w:b w:val="0"/>
          <w:bCs w:val="0"/>
          <w:sz w:val="32"/>
          <w:szCs w:val="32"/>
          <w:lang w:val="en-US" w:eastAsia="zh-CN"/>
        </w:rPr>
        <w:t>第九章 规划实施机制</w:t>
      </w:r>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609FDF66">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781" w:name="_Toc3301"/>
      <w:bookmarkStart w:id="782" w:name="_Toc116"/>
      <w:bookmarkStart w:id="783" w:name="_Toc5108"/>
      <w:bookmarkStart w:id="784" w:name="_Toc2570"/>
      <w:bookmarkStart w:id="785" w:name="_Toc17315"/>
      <w:bookmarkStart w:id="786" w:name="_Toc19275"/>
      <w:bookmarkStart w:id="787" w:name="_Toc6540"/>
      <w:bookmarkStart w:id="788" w:name="_Toc15678"/>
      <w:bookmarkStart w:id="789" w:name="_Toc22027"/>
      <w:bookmarkStart w:id="790" w:name="_Toc218434186"/>
      <w:bookmarkStart w:id="791" w:name="_Toc21975"/>
      <w:bookmarkStart w:id="792" w:name="_Toc24894"/>
      <w:bookmarkStart w:id="793" w:name="_Toc32147"/>
      <w:bookmarkStart w:id="794" w:name="_Toc3358"/>
      <w:bookmarkStart w:id="795" w:name="_Toc21904"/>
      <w:bookmarkStart w:id="796" w:name="_Toc196403195"/>
      <w:bookmarkStart w:id="797" w:name="_Toc5073"/>
      <w:bookmarkStart w:id="798" w:name="_Toc13659"/>
      <w:r>
        <w:rPr>
          <w:rFonts w:hint="default" w:ascii="方正黑体_GBK" w:hAnsi="方正黑体_GBK" w:eastAsia="方正黑体_GBK" w:cs="方正黑体_GBK"/>
          <w:b w:val="0"/>
          <w:bCs w:val="0"/>
          <w:sz w:val="32"/>
          <w:szCs w:val="32"/>
          <w:lang w:val="en-US" w:eastAsia="zh-CN"/>
        </w:rPr>
        <w:t>一</w:t>
      </w:r>
      <w:bookmarkStart w:id="799" w:name="_Hlk196399395"/>
      <w:r>
        <w:rPr>
          <w:rFonts w:hint="default" w:ascii="方正黑体_GBK" w:hAnsi="方正黑体_GBK" w:eastAsia="方正黑体_GBK" w:cs="方正黑体_GBK"/>
          <w:b w:val="0"/>
          <w:bCs w:val="0"/>
          <w:sz w:val="32"/>
          <w:szCs w:val="32"/>
          <w:lang w:val="en-US" w:eastAsia="zh-CN"/>
        </w:rPr>
        <w:t>、建立健全住房联席会议制度</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p>
    <w:p w14:paraId="52D8643A">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由师市统一负责，强化市级层面统筹协调能力，加强对</w:t>
      </w:r>
      <w:r>
        <w:rPr>
          <w:rFonts w:hint="default" w:ascii="Times New Roman" w:hAnsi="Times New Roman" w:eastAsia="方正仿宋简体" w:cs="Times New Roman"/>
          <w:sz w:val="32"/>
          <w:szCs w:val="32"/>
          <w:lang w:val="en-US" w:eastAsia="zh-CN"/>
        </w:rPr>
        <w:t>各团场</w:t>
      </w:r>
      <w:r>
        <w:rPr>
          <w:rFonts w:hint="default" w:ascii="Times New Roman" w:hAnsi="Times New Roman" w:eastAsia="方正仿宋简体" w:cs="Times New Roman"/>
          <w:sz w:val="32"/>
          <w:szCs w:val="32"/>
        </w:rPr>
        <w:t>住房工作的指导和监督，合理引导住房空间布局。定期召集市发展改革、财政、自然资源和规划、住房城乡建设、税务、金融等相关部门，召开联席会议，研究解决住房建设发展过程中存在的问题。</w:t>
      </w:r>
    </w:p>
    <w:p w14:paraId="021F3E8E">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800" w:name="_Toc21486"/>
      <w:bookmarkStart w:id="801" w:name="_Toc7373"/>
      <w:bookmarkStart w:id="802" w:name="_Toc29385"/>
      <w:bookmarkStart w:id="803" w:name="_Toc218434187"/>
      <w:bookmarkStart w:id="804" w:name="_Toc22572"/>
      <w:bookmarkStart w:id="805" w:name="_Toc18990"/>
      <w:bookmarkStart w:id="806" w:name="_Toc19076"/>
      <w:bookmarkStart w:id="807" w:name="_Toc196403196"/>
      <w:bookmarkStart w:id="808" w:name="_Toc12147"/>
      <w:bookmarkStart w:id="809" w:name="_Toc21567"/>
      <w:bookmarkStart w:id="810" w:name="_Hlk196399432"/>
      <w:bookmarkStart w:id="811" w:name="_Toc8652"/>
      <w:bookmarkStart w:id="812" w:name="_Toc11028"/>
      <w:bookmarkStart w:id="813" w:name="_Toc31433"/>
      <w:bookmarkStart w:id="814" w:name="_Toc19714"/>
      <w:bookmarkStart w:id="815" w:name="_Toc8779"/>
      <w:bookmarkStart w:id="816" w:name="_Toc5623"/>
      <w:bookmarkStart w:id="817" w:name="_Toc7202"/>
      <w:bookmarkStart w:id="818" w:name="_Toc15769"/>
      <w:r>
        <w:rPr>
          <w:rFonts w:hint="default" w:ascii="方正黑体_GBK" w:hAnsi="方正黑体_GBK" w:eastAsia="方正黑体_GBK" w:cs="方正黑体_GBK"/>
          <w:b w:val="0"/>
          <w:bCs w:val="0"/>
          <w:sz w:val="32"/>
          <w:szCs w:val="32"/>
          <w:lang w:val="en-US" w:eastAsia="zh-CN"/>
        </w:rPr>
        <w:t>二、建立住房评估机制</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 w14:paraId="2808169E">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贯彻落实规划制定的目标任务，及时监测、跟踪规划执行情况</w:t>
      </w:r>
      <w:r>
        <w:rPr>
          <w:rFonts w:hint="default" w:ascii="Times New Roman" w:hAnsi="Times New Roman" w:eastAsia="方正仿宋简体" w:cs="Times New Roman"/>
          <w:sz w:val="32"/>
          <w:szCs w:val="32"/>
          <w:lang w:eastAsia="zh-CN"/>
        </w:rPr>
        <w:t>，</w:t>
      </w:r>
      <w:r>
        <w:rPr>
          <w:rFonts w:hint="default" w:ascii="Times New Roman" w:hAnsi="Times New Roman" w:eastAsia="方正仿宋简体" w:cs="Times New Roman"/>
          <w:sz w:val="32"/>
          <w:szCs w:val="32"/>
        </w:rPr>
        <w:t>根据每年经济社会发展的实际情况，调整住房发展年度实施计划。在规划的中期，由主管部门会同有关部门共同对本规划的实施进行评估，对相关目标进行修正调整，确保规划的顺利实施。</w:t>
      </w:r>
    </w:p>
    <w:p w14:paraId="681CBE38">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819" w:name="_Toc17323"/>
      <w:bookmarkStart w:id="820" w:name="_Toc756"/>
      <w:bookmarkStart w:id="821" w:name="_Toc15993"/>
      <w:bookmarkStart w:id="822" w:name="_Toc18602"/>
      <w:bookmarkStart w:id="823" w:name="_Toc17637"/>
      <w:bookmarkStart w:id="824" w:name="_Toc2736"/>
      <w:bookmarkStart w:id="825" w:name="_Toc12252"/>
      <w:bookmarkStart w:id="826" w:name="_Toc340"/>
      <w:bookmarkStart w:id="827" w:name="_Toc27567"/>
      <w:bookmarkStart w:id="828" w:name="_Toc31502"/>
      <w:bookmarkStart w:id="829" w:name="_Toc13228"/>
      <w:bookmarkStart w:id="830" w:name="_Toc196403197"/>
      <w:bookmarkStart w:id="831" w:name="_Toc17910"/>
      <w:bookmarkStart w:id="832" w:name="_Toc11403"/>
      <w:bookmarkStart w:id="833" w:name="_Toc218434188"/>
      <w:bookmarkStart w:id="834" w:name="_Toc9125"/>
      <w:bookmarkStart w:id="835" w:name="_Toc13660"/>
      <w:bookmarkStart w:id="836" w:name="_Toc11699"/>
      <w:bookmarkStart w:id="837" w:name="_Hlk196399443"/>
      <w:r>
        <w:rPr>
          <w:rFonts w:hint="default" w:ascii="方正黑体_GBK" w:hAnsi="方正黑体_GBK" w:eastAsia="方正黑体_GBK" w:cs="方正黑体_GBK"/>
          <w:b w:val="0"/>
          <w:bCs w:val="0"/>
          <w:sz w:val="32"/>
          <w:szCs w:val="32"/>
          <w:lang w:val="en-US" w:eastAsia="zh-CN"/>
        </w:rPr>
        <w:t>三、建</w:t>
      </w:r>
      <w:bookmarkStart w:id="838" w:name="_Hlk196399456"/>
      <w:r>
        <w:rPr>
          <w:rFonts w:hint="default" w:ascii="方正黑体_GBK" w:hAnsi="方正黑体_GBK" w:eastAsia="方正黑体_GBK" w:cs="方正黑体_GBK"/>
          <w:b w:val="0"/>
          <w:bCs w:val="0"/>
          <w:sz w:val="32"/>
          <w:szCs w:val="32"/>
          <w:lang w:val="en-US" w:eastAsia="zh-CN"/>
        </w:rPr>
        <w:t>立住房经费保障机制</w:t>
      </w:r>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bookmarkEnd w:id="837"/>
    <w:bookmarkEnd w:id="838"/>
    <w:p w14:paraId="137C7328">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lang w:eastAsia="zh-CN"/>
        </w:rPr>
      </w:pPr>
      <w:r>
        <w:rPr>
          <w:rFonts w:hint="default" w:ascii="Times New Roman" w:hAnsi="Times New Roman" w:eastAsia="方正仿宋简体" w:cs="Times New Roman"/>
          <w:sz w:val="32"/>
          <w:szCs w:val="32"/>
        </w:rPr>
        <w:t>在规划过程中，由主管部门会同有关部门共同对本规划的实施进行监管，有效推动住房发展规划落实。</w:t>
      </w:r>
      <w:bookmarkStart w:id="839" w:name="_Toc80626716"/>
      <w:r>
        <w:rPr>
          <w:rFonts w:hint="default" w:ascii="Times New Roman" w:hAnsi="Times New Roman" w:eastAsia="方正仿宋简体" w:cs="Times New Roman"/>
          <w:sz w:val="32"/>
          <w:szCs w:val="32"/>
        </w:rPr>
        <w:t>保障实施经费落实到位，及时发现并解决规划及计划编制中的经费问题</w:t>
      </w:r>
      <w:r>
        <w:rPr>
          <w:rFonts w:hint="default" w:ascii="Times New Roman" w:hAnsi="Times New Roman" w:eastAsia="方正仿宋简体" w:cs="Times New Roman"/>
          <w:sz w:val="32"/>
          <w:szCs w:val="32"/>
          <w:lang w:eastAsia="zh-CN"/>
        </w:rPr>
        <w:t>。</w:t>
      </w:r>
    </w:p>
    <w:p w14:paraId="7975C8EA">
      <w:pPr>
        <w:keepNext w:val="0"/>
        <w:keepLines w:val="0"/>
        <w:pageBreakBefore w:val="0"/>
        <w:kinsoku/>
        <w:wordWrap/>
        <w:overflowPunct/>
        <w:topLinePunct w:val="0"/>
        <w:bidi w:val="0"/>
        <w:snapToGrid/>
        <w:spacing w:line="560" w:lineRule="exact"/>
        <w:ind w:firstLine="640" w:firstLineChars="200"/>
        <w:jc w:val="left"/>
        <w:textAlignment w:val="auto"/>
        <w:rPr>
          <w:rFonts w:hint="default" w:ascii="方正黑体_GBK" w:hAnsi="方正黑体_GBK" w:eastAsia="方正黑体_GBK" w:cs="方正黑体_GBK"/>
          <w:b w:val="0"/>
          <w:bCs w:val="0"/>
          <w:sz w:val="32"/>
          <w:szCs w:val="32"/>
          <w:lang w:val="en-US" w:eastAsia="zh-CN"/>
        </w:rPr>
      </w:pPr>
      <w:bookmarkStart w:id="840" w:name="_Toc28919"/>
      <w:bookmarkStart w:id="841" w:name="_Toc1216"/>
      <w:bookmarkStart w:id="842" w:name="_Toc31077"/>
      <w:bookmarkStart w:id="843" w:name="_Toc26081"/>
      <w:bookmarkStart w:id="844" w:name="_Toc28083"/>
      <w:bookmarkStart w:id="845" w:name="_Toc6946"/>
      <w:bookmarkStart w:id="846" w:name="_Toc16058"/>
      <w:bookmarkStart w:id="847" w:name="_Toc5654"/>
      <w:bookmarkStart w:id="848" w:name="_Toc28181"/>
      <w:bookmarkStart w:id="849" w:name="_Toc2447"/>
      <w:bookmarkStart w:id="850" w:name="_Toc10270"/>
      <w:bookmarkStart w:id="851" w:name="_Toc15409"/>
      <w:bookmarkStart w:id="852" w:name="_Toc1118"/>
      <w:bookmarkStart w:id="853" w:name="_Toc218434189"/>
      <w:bookmarkStart w:id="854" w:name="_Toc4219"/>
      <w:bookmarkStart w:id="855" w:name="_Toc5689"/>
      <w:bookmarkStart w:id="856" w:name="_Toc196403198"/>
      <w:bookmarkStart w:id="857" w:name="_Toc17732"/>
      <w:r>
        <w:rPr>
          <w:rFonts w:hint="default" w:ascii="方正黑体_GBK" w:hAnsi="方正黑体_GBK" w:eastAsia="方正黑体_GBK" w:cs="方正黑体_GBK"/>
          <w:b w:val="0"/>
          <w:bCs w:val="0"/>
          <w:sz w:val="32"/>
          <w:szCs w:val="32"/>
          <w:lang w:val="en-US" w:eastAsia="zh-CN"/>
        </w:rPr>
        <w:t>四、做好宣传引导</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46A67895">
      <w:pPr>
        <w:keepNext w:val="0"/>
        <w:keepLines w:val="0"/>
        <w:pageBreakBefore w:val="0"/>
        <w:kinsoku/>
        <w:wordWrap/>
        <w:overflowPunct/>
        <w:topLinePunct w:val="0"/>
        <w:bidi w:val="0"/>
        <w:snapToGrid/>
        <w:spacing w:line="560" w:lineRule="exact"/>
        <w:ind w:firstLine="640" w:firstLineChars="200"/>
        <w:textAlignment w:val="auto"/>
        <w:rPr>
          <w:rFonts w:hint="default" w:ascii="Times New Roman" w:hAnsi="Times New Roman" w:eastAsia="方正仿宋简体" w:cs="Times New Roman"/>
          <w:sz w:val="32"/>
          <w:szCs w:val="32"/>
          <w:lang w:val="en-US" w:eastAsia="zh-CN"/>
        </w:rPr>
      </w:pPr>
      <w:bookmarkStart w:id="858" w:name="_Toc196403350"/>
      <w:bookmarkStart w:id="859" w:name="_Toc196403199"/>
      <w:r>
        <w:rPr>
          <w:rFonts w:hint="default" w:ascii="Times New Roman" w:hAnsi="Times New Roman" w:eastAsia="方正仿宋简体" w:cs="Times New Roman"/>
          <w:sz w:val="32"/>
          <w:szCs w:val="32"/>
        </w:rPr>
        <w:t>坚持正确舆论导向，深入开展住房发展规划和房地产市场相关的宣传解读，及时解答社会各界关注的热点问题，主动回应社会关切</w:t>
      </w:r>
      <w:r>
        <w:rPr>
          <w:rFonts w:hint="default" w:ascii="Times New Roman" w:hAnsi="Times New Roman" w:eastAsia="方正仿宋简体" w:cs="Times New Roman"/>
          <w:sz w:val="32"/>
          <w:szCs w:val="32"/>
          <w:lang w:val="en-US" w:eastAsia="zh-CN"/>
        </w:rPr>
        <w:t>事项</w:t>
      </w:r>
      <w:r>
        <w:rPr>
          <w:rFonts w:hint="default" w:ascii="Times New Roman" w:hAnsi="Times New Roman" w:eastAsia="方正仿宋简体" w:cs="Times New Roman"/>
          <w:sz w:val="32"/>
          <w:szCs w:val="32"/>
        </w:rPr>
        <w:t>，合理引导社会预期。</w:t>
      </w:r>
      <w:bookmarkEnd w:id="858"/>
      <w:bookmarkEnd w:id="859"/>
    </w:p>
    <w:p w14:paraId="702C282A">
      <w:pPr>
        <w:keepNext w:val="0"/>
        <w:keepLines w:val="0"/>
        <w:pageBreakBefore w:val="0"/>
        <w:kinsoku/>
        <w:wordWrap/>
        <w:overflowPunct/>
        <w:topLinePunct w:val="0"/>
        <w:bidi w:val="0"/>
        <w:snapToGrid/>
        <w:spacing w:line="560" w:lineRule="exact"/>
        <w:textAlignment w:val="auto"/>
        <w:rPr>
          <w:rFonts w:hint="default" w:ascii="Times New Roman" w:hAnsi="Times New Roman" w:eastAsia="方正仿宋简体" w:cs="Times New Roman"/>
          <w:sz w:val="32"/>
          <w:szCs w:val="32"/>
        </w:rPr>
      </w:pPr>
    </w:p>
    <w:sectPr>
      <w:headerReference r:id="rId3" w:type="default"/>
      <w:footerReference r:id="rId4" w:type="default"/>
      <w:pgSz w:w="11906" w:h="16838"/>
      <w:pgMar w:top="2098" w:right="1474" w:bottom="1984" w:left="1587" w:header="851" w:footer="992" w:gutter="0"/>
      <w:cols w:space="425" w:num="1"/>
      <w:docGrid w:type="lines"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18952">
    <w:pPr>
      <w:pStyle w:val="2"/>
      <w:jc w:val="center"/>
    </w:pPr>
    <w:r>
      <w:fldChar w:fldCharType="begin"/>
    </w:r>
    <w:r>
      <w:instrText xml:space="preserve">PAGE   \* MERGEFORMAT</w:instrText>
    </w:r>
    <w:r>
      <w:fldChar w:fldCharType="separate"/>
    </w:r>
    <w:r>
      <w:rPr>
        <w:lang w:val="zh-CN"/>
      </w:rPr>
      <w:t>7</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90137">
    <w:pPr>
      <w:pStyle w:val="3"/>
      <w:tabs>
        <w:tab w:val="left" w:pos="6045"/>
        <w:tab w:val="clear" w:pos="8306"/>
      </w:tabs>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5F5DA7"/>
    <w:rsid w:val="2D0F0D00"/>
    <w:rsid w:val="5B363D9B"/>
    <w:rsid w:val="7CCC15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28"/>
      <w:szCs w:val="22"/>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1936</Words>
  <Characters>1987</Characters>
  <Lines>0</Lines>
  <Paragraphs>0</Paragraphs>
  <TotalTime>8</TotalTime>
  <ScaleCrop>false</ScaleCrop>
  <LinksUpToDate>false</LinksUpToDate>
  <CharactersWithSpaces>1992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2026-07-30T05:01:00Z</dcterms:created>
  <dc:creator>Administrator</dc:creator>
  <cp:lastModifiedBy>鲁鹏飞</cp:lastModifiedBy>
  <dcterms:modified xsi:type="dcterms:W3CDTF">2026-09-02T08:52:20Z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eyJoZGlkIjoiYzJjODFhNTA3NTI0MGYxYWI4ZjFiZDI2YzRkZjY2ZTkiLCJ1c2VySWQiOiIzMzU4MTk5NDQifQ==</vt:lpwstr>
  </property>
  <property fmtid="{D5CDD505-2E9C-101B-9397-08002B2CF9AE}" pid="4" name="ICV">
    <vt:lpwstr>D640F3693A584A62A31D3A2399770485_13</vt:lpwstr>
  </property>
</Properties>
</file>