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02ED7">
      <w:pPr>
        <w:pStyle w:val="2"/>
        <w:rPr>
          <w:rFonts w:hint="default"/>
          <w:lang w:val="en-US" w:eastAsia="zh-CN"/>
        </w:rPr>
      </w:pPr>
      <w:bookmarkStart w:id="0" w:name="_Toc15609"/>
      <w:bookmarkStart w:id="1" w:name="_Toc16996"/>
    </w:p>
    <w:p w14:paraId="29B8C0D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color w:val="auto"/>
          <w:sz w:val="44"/>
          <w:szCs w:val="44"/>
          <w:highlight w:val="none"/>
        </w:rPr>
      </w:pPr>
      <w:r>
        <w:rPr>
          <w:rFonts w:hint="default" w:ascii="Times New Roman" w:hAnsi="Times New Roman" w:eastAsia="方正小标宋简体" w:cs="Times New Roman"/>
          <w:b w:val="0"/>
          <w:bCs/>
          <w:color w:val="auto"/>
          <w:sz w:val="44"/>
          <w:szCs w:val="44"/>
          <w:highlight w:val="none"/>
        </w:rPr>
        <w:fldChar w:fldCharType="begin">
          <w:fldData xml:space="preserve">ZQBKAHoAdABYAFEAMQAwAFYATgBXAGQAZgB5ADgAegBtAFgAbQA1AHAAQwBaAEcANABHAFMAagBy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</w:fldData>
        </w:fldChar>
      </w:r>
      <w:r>
        <w:rPr>
          <w:rFonts w:hint="default" w:ascii="Times New Roman" w:hAnsi="Times New Roman" w:eastAsia="方正小标宋简体" w:cs="Times New Roman"/>
          <w:b w:val="0"/>
          <w:bCs/>
          <w:color w:val="auto"/>
          <w:sz w:val="44"/>
          <w:szCs w:val="44"/>
          <w:highlight w:val="none"/>
        </w:rPr>
        <w:instrText xml:space="preserve">ADDIN CNKISM.UserStyle</w:instrText>
      </w:r>
      <w:r>
        <w:rPr>
          <w:rFonts w:hint="default" w:ascii="Times New Roman" w:hAnsi="Times New Roman" w:eastAsia="方正小标宋简体" w:cs="Times New Roman"/>
          <w:b w:val="0"/>
          <w:bCs/>
          <w:color w:val="auto"/>
          <w:sz w:val="44"/>
          <w:szCs w:val="44"/>
          <w:highlight w:val="none"/>
        </w:rPr>
        <w:fldChar w:fldCharType="separate"/>
      </w:r>
      <w:r>
        <w:rPr>
          <w:rFonts w:hint="default" w:ascii="Times New Roman" w:hAnsi="Times New Roman" w:eastAsia="方正小标宋简体" w:cs="Times New Roman"/>
          <w:b w:val="0"/>
          <w:bCs/>
          <w:color w:val="auto"/>
          <w:sz w:val="44"/>
          <w:szCs w:val="44"/>
          <w:highlight w:val="none"/>
        </w:rPr>
        <w:fldChar w:fldCharType="end"/>
      </w:r>
      <w:r>
        <w:rPr>
          <w:rFonts w:hint="default" w:ascii="Times New Roman" w:hAnsi="Times New Roman" w:eastAsia="方正小标宋简体" w:cs="Times New Roman"/>
          <w:b w:val="0"/>
          <w:bCs/>
          <w:color w:val="auto"/>
          <w:sz w:val="44"/>
          <w:szCs w:val="44"/>
          <w:highlight w:val="none"/>
        </w:rPr>
        <w:t>第十三师新星市</w:t>
      </w:r>
      <w:r>
        <w:rPr>
          <w:rFonts w:hint="eastAsia" w:ascii="Times New Roman" w:hAnsi="Times New Roman" w:eastAsia="方正小标宋简体" w:cs="Times New Roman"/>
          <w:b w:val="0"/>
          <w:bCs/>
          <w:color w:val="auto"/>
          <w:sz w:val="44"/>
          <w:szCs w:val="44"/>
          <w:highlight w:val="none"/>
          <w:lang w:eastAsia="zh-CN"/>
        </w:rPr>
        <w:t>“</w:t>
      </w:r>
      <w:r>
        <w:rPr>
          <w:rFonts w:hint="default" w:ascii="Times New Roman" w:hAnsi="Times New Roman" w:eastAsia="方正小标宋简体" w:cs="Times New Roman"/>
          <w:b w:val="0"/>
          <w:bCs/>
          <w:color w:val="auto"/>
          <w:sz w:val="44"/>
          <w:szCs w:val="44"/>
          <w:highlight w:val="none"/>
        </w:rPr>
        <w:t>十五五</w:t>
      </w:r>
      <w:r>
        <w:rPr>
          <w:rFonts w:hint="eastAsia" w:ascii="Times New Roman" w:hAnsi="Times New Roman" w:eastAsia="方正小标宋简体" w:cs="Times New Roman"/>
          <w:b w:val="0"/>
          <w:bCs/>
          <w:color w:val="auto"/>
          <w:sz w:val="44"/>
          <w:szCs w:val="44"/>
          <w:highlight w:val="none"/>
          <w:lang w:eastAsia="zh-CN"/>
        </w:rPr>
        <w:t>”</w:t>
      </w:r>
      <w:r>
        <w:rPr>
          <w:rFonts w:hint="default" w:ascii="Times New Roman" w:hAnsi="Times New Roman" w:eastAsia="方正小标宋简体" w:cs="Times New Roman"/>
          <w:b w:val="0"/>
          <w:bCs/>
          <w:color w:val="auto"/>
          <w:sz w:val="44"/>
          <w:szCs w:val="44"/>
          <w:highlight w:val="none"/>
        </w:rPr>
        <w:t>家庭教育</w:t>
      </w:r>
    </w:p>
    <w:p w14:paraId="071EFD2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color w:val="auto"/>
          <w:sz w:val="44"/>
          <w:szCs w:val="44"/>
          <w:highlight w:val="none"/>
        </w:rPr>
      </w:pPr>
      <w:r>
        <w:rPr>
          <w:rFonts w:hint="default" w:ascii="Times New Roman" w:hAnsi="Times New Roman" w:eastAsia="方正小标宋简体" w:cs="Times New Roman"/>
          <w:b w:val="0"/>
          <w:bCs/>
          <w:color w:val="auto"/>
          <w:sz w:val="44"/>
          <w:szCs w:val="44"/>
          <w:highlight w:val="none"/>
        </w:rPr>
        <w:t>工作专项规划(2026-2030年)</w:t>
      </w:r>
    </w:p>
    <w:p w14:paraId="4C15F04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楷体简体" w:hAnsi="方正楷体简体" w:eastAsia="方正楷体简体" w:cs="方正楷体简体"/>
          <w:b w:val="0"/>
          <w:bCs/>
          <w:color w:val="auto"/>
          <w:sz w:val="32"/>
          <w:szCs w:val="32"/>
          <w:highlight w:val="none"/>
          <w:lang w:eastAsia="zh-CN"/>
        </w:rPr>
      </w:pPr>
    </w:p>
    <w:p w14:paraId="3361D9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color w:val="auto"/>
          <w:sz w:val="44"/>
          <w:szCs w:val="44"/>
          <w:highlight w:val="none"/>
        </w:rPr>
      </w:pPr>
    </w:p>
    <w:p w14:paraId="7AFE77D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color w:val="auto"/>
          <w:sz w:val="44"/>
          <w:szCs w:val="44"/>
          <w:highlight w:val="none"/>
        </w:rPr>
      </w:pPr>
    </w:p>
    <w:p w14:paraId="7B28AF2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color w:val="auto"/>
          <w:sz w:val="44"/>
          <w:szCs w:val="44"/>
          <w:highlight w:val="none"/>
        </w:rPr>
      </w:pPr>
    </w:p>
    <w:p w14:paraId="464AA8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color w:val="auto"/>
          <w:sz w:val="44"/>
          <w:szCs w:val="44"/>
          <w:highlight w:val="none"/>
        </w:rPr>
      </w:pPr>
    </w:p>
    <w:p w14:paraId="0FAAA32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color w:val="auto"/>
          <w:sz w:val="44"/>
          <w:szCs w:val="44"/>
          <w:highlight w:val="none"/>
        </w:rPr>
      </w:pPr>
    </w:p>
    <w:p w14:paraId="4E64BBF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color w:val="auto"/>
          <w:sz w:val="44"/>
          <w:szCs w:val="44"/>
          <w:highlight w:val="none"/>
        </w:rPr>
      </w:pPr>
    </w:p>
    <w:p w14:paraId="5E8415C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color w:val="auto"/>
          <w:sz w:val="44"/>
          <w:szCs w:val="44"/>
          <w:highlight w:val="none"/>
        </w:rPr>
      </w:pPr>
    </w:p>
    <w:p w14:paraId="3636D78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color w:val="auto"/>
          <w:sz w:val="44"/>
          <w:szCs w:val="44"/>
          <w:highlight w:val="none"/>
        </w:rPr>
      </w:pPr>
    </w:p>
    <w:p w14:paraId="10BFA32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color w:val="auto"/>
          <w:sz w:val="44"/>
          <w:szCs w:val="44"/>
          <w:highlight w:val="none"/>
        </w:rPr>
      </w:pPr>
    </w:p>
    <w:p w14:paraId="0EF29F0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color w:val="auto"/>
          <w:sz w:val="44"/>
          <w:szCs w:val="44"/>
          <w:highlight w:val="none"/>
        </w:rPr>
      </w:pPr>
    </w:p>
    <w:p w14:paraId="296A5DA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color w:val="auto"/>
          <w:sz w:val="44"/>
          <w:szCs w:val="44"/>
          <w:highlight w:val="none"/>
        </w:rPr>
      </w:pPr>
    </w:p>
    <w:p w14:paraId="0591AE1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val="0"/>
          <w:bCs/>
          <w:color w:val="auto"/>
          <w:sz w:val="32"/>
          <w:szCs w:val="32"/>
          <w:highlight w:val="none"/>
          <w:lang w:val="en-US" w:eastAsia="zh-CN"/>
        </w:rPr>
      </w:pPr>
    </w:p>
    <w:p w14:paraId="3676788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auto"/>
          <w:sz w:val="32"/>
          <w:szCs w:val="32"/>
          <w:highlight w:val="none"/>
          <w:lang w:val="en-US" w:eastAsia="zh-CN"/>
        </w:rPr>
      </w:pPr>
      <w:r>
        <w:rPr>
          <w:rFonts w:hint="default" w:ascii="Times New Roman" w:hAnsi="Times New Roman" w:eastAsia="仿宋_GB2312" w:cs="Times New Roman"/>
          <w:b w:val="0"/>
          <w:bCs/>
          <w:color w:val="auto"/>
          <w:sz w:val="32"/>
          <w:szCs w:val="32"/>
          <w:highlight w:val="none"/>
          <w:lang w:val="en-US" w:eastAsia="zh-CN"/>
        </w:rPr>
        <w:t>2026</w:t>
      </w:r>
      <w:r>
        <w:rPr>
          <w:rFonts w:hint="eastAsia" w:ascii="仿宋_GB2312" w:hAnsi="仿宋_GB2312" w:eastAsia="仿宋_GB2312" w:cs="仿宋_GB2312"/>
          <w:b w:val="0"/>
          <w:bCs/>
          <w:color w:val="auto"/>
          <w:sz w:val="32"/>
          <w:szCs w:val="32"/>
          <w:highlight w:val="none"/>
          <w:lang w:val="en-US" w:eastAsia="zh-CN"/>
        </w:rPr>
        <w:t>年</w:t>
      </w:r>
      <w:r>
        <w:rPr>
          <w:rFonts w:hint="default" w:ascii="Times New Roman" w:hAnsi="Times New Roman" w:eastAsia="仿宋_GB2312" w:cs="Times New Roman"/>
          <w:b w:val="0"/>
          <w:bCs/>
          <w:color w:val="auto"/>
          <w:sz w:val="32"/>
          <w:szCs w:val="32"/>
          <w:highlight w:val="none"/>
          <w:lang w:val="en-US" w:eastAsia="zh-CN"/>
        </w:rPr>
        <w:t>10</w:t>
      </w:r>
      <w:r>
        <w:rPr>
          <w:rFonts w:hint="eastAsia" w:ascii="仿宋_GB2312" w:hAnsi="仿宋_GB2312" w:eastAsia="仿宋_GB2312" w:cs="仿宋_GB2312"/>
          <w:b w:val="0"/>
          <w:bCs/>
          <w:color w:val="auto"/>
          <w:sz w:val="32"/>
          <w:szCs w:val="32"/>
          <w:highlight w:val="none"/>
          <w:lang w:val="en-US" w:eastAsia="zh-CN"/>
        </w:rPr>
        <w:t>月</w:t>
      </w:r>
    </w:p>
    <w:p w14:paraId="2D090108">
      <w:pPr>
        <w:pageBreakBefore w:val="0"/>
        <w:kinsoku/>
        <w:wordWrap/>
        <w:overflowPunct/>
        <w:topLinePunct w:val="0"/>
        <w:autoSpaceDN/>
        <w:bidi w:val="0"/>
        <w:adjustRightInd/>
        <w:spacing w:line="560" w:lineRule="exact"/>
        <w:ind w:firstLine="880" w:firstLineChars="200"/>
        <w:jc w:val="both"/>
        <w:textAlignment w:val="auto"/>
        <w:rPr>
          <w:rFonts w:hint="default" w:ascii="Times New Roman" w:hAnsi="Times New Roman" w:eastAsia="方正小标宋简体" w:cs="Times New Roman"/>
          <w:b w:val="0"/>
          <w:bCs/>
          <w:color w:val="auto"/>
          <w:sz w:val="44"/>
          <w:szCs w:val="44"/>
          <w:highlight w:val="none"/>
        </w:rPr>
      </w:pPr>
    </w:p>
    <w:p w14:paraId="43C51B3D">
      <w:pPr>
        <w:pageBreakBefore w:val="0"/>
        <w:kinsoku/>
        <w:wordWrap/>
        <w:overflowPunct/>
        <w:topLinePunct w:val="0"/>
        <w:autoSpaceDN/>
        <w:bidi w:val="0"/>
        <w:adjustRightInd/>
        <w:spacing w:line="560" w:lineRule="exact"/>
        <w:textAlignment w:val="auto"/>
        <w:rPr>
          <w:rFonts w:hint="default" w:ascii="Times New Roman" w:hAnsi="Times New Roman" w:eastAsia="方正小标宋简体" w:cs="Times New Roman"/>
          <w:b w:val="0"/>
          <w:bCs/>
          <w:color w:val="auto"/>
          <w:sz w:val="44"/>
          <w:szCs w:val="44"/>
          <w:highlight w:val="none"/>
        </w:rPr>
      </w:pPr>
      <w:r>
        <w:rPr>
          <w:rFonts w:hint="default" w:ascii="Times New Roman" w:hAnsi="Times New Roman" w:eastAsia="方正小标宋简体" w:cs="Times New Roman"/>
          <w:b w:val="0"/>
          <w:bCs/>
          <w:color w:val="auto"/>
          <w:sz w:val="44"/>
          <w:szCs w:val="44"/>
          <w:highlight w:val="none"/>
        </w:rPr>
        <w:br w:type="page"/>
      </w:r>
    </w:p>
    <w:p w14:paraId="09F037A4">
      <w:pPr>
        <w:pageBreakBefore w:val="0"/>
        <w:kinsoku/>
        <w:wordWrap/>
        <w:overflowPunct/>
        <w:topLinePunct w:val="0"/>
        <w:autoSpaceDN/>
        <w:bidi w:val="0"/>
        <w:adjustRightInd/>
        <w:spacing w:line="560" w:lineRule="exact"/>
        <w:jc w:val="center"/>
        <w:textAlignment w:val="auto"/>
        <w:rPr>
          <w:rFonts w:hint="eastAsia" w:ascii="方正黑体简体" w:hAnsi="方正黑体简体" w:eastAsia="方正黑体简体" w:cs="方正黑体简体"/>
          <w:b w:val="0"/>
          <w:bCs/>
          <w:color w:val="auto"/>
          <w:sz w:val="32"/>
          <w:szCs w:val="32"/>
          <w:highlight w:val="none"/>
        </w:rPr>
      </w:pPr>
      <w:r>
        <w:rPr>
          <w:rFonts w:hint="eastAsia" w:ascii="方正黑体简体" w:hAnsi="方正黑体简体" w:eastAsia="方正黑体简体" w:cs="方正黑体简体"/>
          <w:b w:val="0"/>
          <w:bCs/>
          <w:color w:val="auto"/>
          <w:sz w:val="32"/>
          <w:szCs w:val="32"/>
          <w:highlight w:val="none"/>
        </w:rPr>
        <w:t>目</w:t>
      </w:r>
      <w:r>
        <w:rPr>
          <w:rFonts w:hint="eastAsia" w:ascii="方正黑体简体" w:hAnsi="方正黑体简体" w:eastAsia="方正黑体简体" w:cs="方正黑体简体"/>
          <w:b w:val="0"/>
          <w:bCs/>
          <w:color w:val="auto"/>
          <w:sz w:val="32"/>
          <w:szCs w:val="32"/>
          <w:highlight w:val="none"/>
          <w:lang w:val="en-US" w:eastAsia="zh-CN"/>
        </w:rPr>
        <w:t xml:space="preserve">  </w:t>
      </w:r>
      <w:r>
        <w:rPr>
          <w:rFonts w:hint="eastAsia" w:ascii="方正黑体简体" w:hAnsi="方正黑体简体" w:eastAsia="方正黑体简体" w:cs="方正黑体简体"/>
          <w:b w:val="0"/>
          <w:bCs/>
          <w:color w:val="auto"/>
          <w:sz w:val="32"/>
          <w:szCs w:val="32"/>
          <w:highlight w:val="none"/>
        </w:rPr>
        <w:t>录</w:t>
      </w:r>
    </w:p>
    <w:p w14:paraId="3BA1C497">
      <w:pPr>
        <w:pStyle w:val="11"/>
        <w:tabs>
          <w:tab w:val="right" w:leader="dot" w:pos="8845"/>
        </w:tabs>
        <w:rPr>
          <w:rFonts w:hint="eastAsia" w:ascii="仿宋_GB2312" w:hAnsi="仿宋_GB2312" w:eastAsia="仿宋_GB2312" w:cs="仿宋_GB2312"/>
          <w:color w:val="auto"/>
          <w:sz w:val="32"/>
          <w:lang w:val="en-US" w:eastAsia="zh-CN"/>
        </w:rPr>
      </w:pPr>
      <w:r>
        <w:rPr>
          <w:rFonts w:hint="eastAsia" w:ascii="仿宋_GB2312" w:hAnsi="仿宋_GB2312" w:eastAsia="仿宋_GB2312" w:cs="仿宋_GB2312"/>
          <w:color w:val="auto"/>
          <w:sz w:val="32"/>
        </w:rPr>
        <w:t>第</w:t>
      </w:r>
      <w:r>
        <w:rPr>
          <w:rFonts w:hint="eastAsia" w:ascii="仿宋_GB2312" w:hAnsi="仿宋_GB2312" w:eastAsia="仿宋_GB2312" w:cs="仿宋_GB2312"/>
          <w:color w:val="auto"/>
          <w:sz w:val="32"/>
          <w:lang w:eastAsia="zh-CN"/>
        </w:rPr>
        <w:t>一</w:t>
      </w:r>
      <w:r>
        <w:rPr>
          <w:rFonts w:hint="eastAsia" w:ascii="仿宋_GB2312" w:hAnsi="仿宋_GB2312" w:eastAsia="仿宋_GB2312" w:cs="仿宋_GB2312"/>
          <w:color w:val="auto"/>
          <w:sz w:val="32"/>
        </w:rPr>
        <w:t>章</w:t>
      </w:r>
      <w:r>
        <w:rPr>
          <w:rFonts w:hint="eastAsia" w:ascii="仿宋_GB2312" w:hAnsi="仿宋_GB2312" w:eastAsia="仿宋_GB2312" w:cs="仿宋_GB2312"/>
          <w:color w:val="auto"/>
          <w:sz w:val="32"/>
          <w:lang w:val="en-US" w:eastAsia="zh-CN"/>
        </w:rPr>
        <w:t xml:space="preserve"> </w:t>
      </w:r>
      <w:r>
        <w:rPr>
          <w:rFonts w:hint="eastAsia" w:ascii="仿宋_GB2312" w:hAnsi="仿宋_GB2312" w:eastAsia="仿宋_GB2312" w:cs="仿宋_GB2312"/>
          <w:color w:val="auto"/>
          <w:sz w:val="32"/>
        </w:rPr>
        <w:t>指导思想与总体要求</w:t>
      </w:r>
      <w:r>
        <w:rPr>
          <w:rFonts w:hint="eastAsia" w:ascii="仿宋_GB2312" w:hAnsi="仿宋_GB2312" w:eastAsia="仿宋_GB2312" w:cs="仿宋_GB2312"/>
          <w:color w:val="auto"/>
          <w:sz w:val="32"/>
        </w:rPr>
        <w:tab/>
      </w:r>
      <w:r>
        <w:rPr>
          <w:rFonts w:hint="default" w:ascii="Times New Roman" w:hAnsi="Times New Roman" w:eastAsia="仿宋_GB2312" w:cs="Times New Roman"/>
          <w:color w:val="auto"/>
          <w:sz w:val="32"/>
          <w:lang w:val="en-US" w:eastAsia="zh-CN"/>
        </w:rPr>
        <w:t>1</w:t>
      </w:r>
    </w:p>
    <w:p w14:paraId="4EC06A24">
      <w:pPr>
        <w:pStyle w:val="13"/>
        <w:tabs>
          <w:tab w:val="right" w:leader="dot" w:pos="8845"/>
        </w:tabs>
        <w:rPr>
          <w:rFonts w:hint="eastAsia" w:ascii="仿宋_GB2312" w:hAnsi="仿宋_GB2312" w:eastAsia="仿宋_GB2312" w:cs="仿宋_GB2312"/>
          <w:color w:val="auto"/>
          <w:sz w:val="32"/>
          <w:lang w:val="en-US" w:eastAsia="zh-CN"/>
        </w:rPr>
      </w:pPr>
      <w:r>
        <w:rPr>
          <w:rFonts w:hint="eastAsia" w:ascii="仿宋_GB2312" w:hAnsi="仿宋_GB2312" w:eastAsia="仿宋_GB2312" w:cs="仿宋_GB2312"/>
          <w:color w:val="auto"/>
          <w:sz w:val="32"/>
        </w:rPr>
        <w:t>第一节 指导思想</w:t>
      </w:r>
      <w:r>
        <w:rPr>
          <w:rFonts w:hint="eastAsia" w:ascii="仿宋_GB2312" w:hAnsi="仿宋_GB2312" w:eastAsia="仿宋_GB2312" w:cs="仿宋_GB2312"/>
          <w:color w:val="auto"/>
          <w:sz w:val="32"/>
        </w:rPr>
        <w:tab/>
      </w:r>
      <w:r>
        <w:rPr>
          <w:rFonts w:hint="eastAsia" w:ascii="Times New Roman" w:hAnsi="Times New Roman" w:eastAsia="仿宋_GB2312" w:cs="Times New Roman"/>
          <w:color w:val="auto"/>
          <w:kern w:val="2"/>
          <w:sz w:val="32"/>
          <w:szCs w:val="24"/>
          <w:lang w:val="en-US" w:eastAsia="zh-CN" w:bidi="ar-SA"/>
        </w:rPr>
        <w:t>1</w:t>
      </w:r>
    </w:p>
    <w:p w14:paraId="28808085">
      <w:pPr>
        <w:pStyle w:val="13"/>
        <w:tabs>
          <w:tab w:val="right" w:leader="dot" w:pos="8845"/>
        </w:tabs>
        <w:rPr>
          <w:rFonts w:hint="eastAsia" w:ascii="仿宋_GB2312" w:hAnsi="仿宋_GB2312" w:eastAsia="仿宋_GB2312" w:cs="仿宋_GB2312"/>
          <w:color w:val="auto"/>
          <w:sz w:val="32"/>
          <w:lang w:val="en-US" w:eastAsia="zh-CN"/>
        </w:rPr>
      </w:pPr>
      <w:r>
        <w:rPr>
          <w:rFonts w:hint="eastAsia" w:ascii="仿宋_GB2312" w:hAnsi="仿宋_GB2312" w:eastAsia="仿宋_GB2312" w:cs="仿宋_GB2312"/>
          <w:color w:val="auto"/>
          <w:sz w:val="32"/>
        </w:rPr>
        <w:t xml:space="preserve">第二节 </w:t>
      </w:r>
      <w:r>
        <w:rPr>
          <w:rFonts w:hint="eastAsia" w:ascii="仿宋_GB2312" w:hAnsi="仿宋_GB2312" w:eastAsia="仿宋_GB2312" w:cs="仿宋_GB2312"/>
          <w:color w:val="auto"/>
          <w:sz w:val="32"/>
          <w:lang w:val="en-US" w:eastAsia="zh-CN"/>
        </w:rPr>
        <w:t>基本原则</w:t>
      </w:r>
      <w:r>
        <w:rPr>
          <w:rFonts w:hint="eastAsia" w:ascii="仿宋_GB2312" w:hAnsi="仿宋_GB2312" w:eastAsia="仿宋_GB2312" w:cs="仿宋_GB2312"/>
          <w:color w:val="auto"/>
          <w:sz w:val="32"/>
        </w:rPr>
        <w:tab/>
      </w:r>
      <w:r>
        <w:rPr>
          <w:rFonts w:hint="eastAsia" w:ascii="Times New Roman" w:hAnsi="Times New Roman" w:eastAsia="仿宋_GB2312" w:cs="Times New Roman"/>
          <w:color w:val="auto"/>
          <w:kern w:val="2"/>
          <w:sz w:val="32"/>
          <w:szCs w:val="24"/>
          <w:lang w:val="en-US" w:eastAsia="zh-CN" w:bidi="ar-SA"/>
        </w:rPr>
        <w:t>1</w:t>
      </w:r>
    </w:p>
    <w:p w14:paraId="4F07A3AD">
      <w:pPr>
        <w:pStyle w:val="13"/>
        <w:tabs>
          <w:tab w:val="right" w:leader="dot" w:pos="8845"/>
        </w:tabs>
        <w:rPr>
          <w:rFonts w:hint="eastAsia" w:ascii="仿宋_GB2312" w:hAnsi="仿宋_GB2312" w:eastAsia="仿宋_GB2312" w:cs="仿宋_GB2312"/>
          <w:color w:val="auto"/>
          <w:sz w:val="32"/>
          <w:lang w:val="en-US" w:eastAsia="zh-CN"/>
        </w:rPr>
      </w:pPr>
      <w:r>
        <w:rPr>
          <w:rFonts w:hint="eastAsia" w:ascii="仿宋_GB2312" w:hAnsi="仿宋_GB2312" w:eastAsia="仿宋_GB2312" w:cs="仿宋_GB2312"/>
          <w:color w:val="auto"/>
          <w:sz w:val="32"/>
        </w:rPr>
        <w:t>第</w:t>
      </w:r>
      <w:r>
        <w:rPr>
          <w:rFonts w:hint="eastAsia" w:ascii="仿宋_GB2312" w:hAnsi="仿宋_GB2312" w:eastAsia="仿宋_GB2312" w:cs="仿宋_GB2312"/>
          <w:color w:val="auto"/>
          <w:sz w:val="32"/>
          <w:lang w:val="en-US" w:eastAsia="zh-CN"/>
        </w:rPr>
        <w:t>三节 总体目标</w:t>
      </w:r>
      <w:r>
        <w:rPr>
          <w:rFonts w:hint="eastAsia" w:ascii="仿宋_GB2312" w:hAnsi="仿宋_GB2312" w:eastAsia="仿宋_GB2312" w:cs="仿宋_GB2312"/>
          <w:color w:val="auto"/>
          <w:sz w:val="32"/>
        </w:rPr>
        <w:tab/>
      </w:r>
      <w:r>
        <w:rPr>
          <w:rFonts w:hint="eastAsia" w:ascii="Times New Roman" w:hAnsi="Times New Roman" w:eastAsia="仿宋_GB2312" w:cs="Times New Roman"/>
          <w:color w:val="auto"/>
          <w:kern w:val="2"/>
          <w:sz w:val="32"/>
          <w:szCs w:val="24"/>
          <w:lang w:val="en-US" w:eastAsia="zh-CN" w:bidi="ar-SA"/>
        </w:rPr>
        <w:t>2</w:t>
      </w:r>
    </w:p>
    <w:p w14:paraId="1D4B3261">
      <w:pPr>
        <w:pStyle w:val="13"/>
        <w:tabs>
          <w:tab w:val="right" w:leader="dot" w:pos="8845"/>
        </w:tabs>
        <w:rPr>
          <w:rFonts w:hint="eastAsia" w:ascii="仿宋_GB2312" w:hAnsi="仿宋_GB2312" w:eastAsia="仿宋_GB2312" w:cs="仿宋_GB2312"/>
          <w:color w:val="auto"/>
          <w:sz w:val="32"/>
          <w:lang w:val="en-US" w:eastAsia="zh-CN"/>
        </w:rPr>
      </w:pPr>
      <w:r>
        <w:rPr>
          <w:rFonts w:hint="eastAsia" w:ascii="仿宋_GB2312" w:hAnsi="仿宋_GB2312" w:eastAsia="仿宋_GB2312" w:cs="仿宋_GB2312"/>
          <w:color w:val="auto"/>
          <w:sz w:val="32"/>
          <w:lang w:val="en-US" w:eastAsia="zh-CN"/>
        </w:rPr>
        <w:t>第四节 总体布局</w:t>
      </w:r>
      <w:r>
        <w:rPr>
          <w:rFonts w:hint="eastAsia" w:ascii="仿宋_GB2312" w:hAnsi="仿宋_GB2312" w:eastAsia="仿宋_GB2312" w:cs="仿宋_GB2312"/>
          <w:color w:val="auto"/>
          <w:sz w:val="32"/>
        </w:rPr>
        <w:tab/>
      </w:r>
      <w:r>
        <w:rPr>
          <w:rFonts w:hint="eastAsia" w:ascii="Times New Roman" w:hAnsi="Times New Roman" w:eastAsia="仿宋_GB2312" w:cs="Times New Roman"/>
          <w:color w:val="auto"/>
          <w:kern w:val="2"/>
          <w:sz w:val="32"/>
          <w:szCs w:val="24"/>
          <w:lang w:val="en-US" w:eastAsia="zh-CN" w:bidi="ar-SA"/>
        </w:rPr>
        <w:t>3</w:t>
      </w:r>
    </w:p>
    <w:p w14:paraId="74B8493B">
      <w:pPr>
        <w:pStyle w:val="11"/>
        <w:tabs>
          <w:tab w:val="right" w:leader="dot" w:pos="8845"/>
        </w:tabs>
        <w:rPr>
          <w:rFonts w:hint="eastAsia" w:ascii="仿宋_GB2312" w:hAnsi="仿宋_GB2312" w:eastAsia="仿宋_GB2312" w:cs="仿宋_GB2312"/>
          <w:color w:val="auto"/>
          <w:sz w:val="32"/>
          <w:lang w:val="en-US" w:eastAsia="zh-CN"/>
        </w:rPr>
      </w:pPr>
      <w:r>
        <w:rPr>
          <w:rFonts w:hint="eastAsia" w:ascii="仿宋_GB2312" w:hAnsi="仿宋_GB2312" w:eastAsia="仿宋_GB2312" w:cs="仿宋_GB2312"/>
          <w:color w:val="auto"/>
          <w:sz w:val="32"/>
          <w:lang w:val="en-US" w:eastAsia="zh-CN"/>
        </w:rPr>
        <w:t>第二章 重点举措</w:t>
      </w:r>
      <w:r>
        <w:rPr>
          <w:rFonts w:hint="eastAsia" w:ascii="仿宋_GB2312" w:hAnsi="仿宋_GB2312" w:eastAsia="仿宋_GB2312" w:cs="仿宋_GB2312"/>
          <w:color w:val="auto"/>
          <w:sz w:val="32"/>
        </w:rPr>
        <w:tab/>
      </w:r>
      <w:r>
        <w:rPr>
          <w:rFonts w:hint="eastAsia" w:ascii="Times New Roman" w:hAnsi="Times New Roman" w:eastAsia="仿宋_GB2312" w:cs="Times New Roman"/>
          <w:color w:val="auto"/>
          <w:kern w:val="2"/>
          <w:sz w:val="32"/>
          <w:szCs w:val="24"/>
          <w:lang w:val="en-US" w:eastAsia="zh-CN" w:bidi="ar-SA"/>
        </w:rPr>
        <w:t>5</w:t>
      </w:r>
    </w:p>
    <w:p w14:paraId="763CE725">
      <w:pPr>
        <w:pStyle w:val="13"/>
        <w:tabs>
          <w:tab w:val="right" w:leader="dot" w:pos="8845"/>
        </w:tabs>
        <w:rPr>
          <w:rFonts w:hint="eastAsia" w:ascii="仿宋_GB2312" w:hAnsi="仿宋_GB2312" w:eastAsia="仿宋_GB2312" w:cs="仿宋_GB2312"/>
          <w:color w:val="auto"/>
          <w:sz w:val="32"/>
          <w:lang w:val="en-US" w:eastAsia="zh-CN"/>
        </w:rPr>
      </w:pPr>
      <w:r>
        <w:rPr>
          <w:rFonts w:hint="eastAsia" w:ascii="仿宋_GB2312" w:hAnsi="仿宋_GB2312" w:eastAsia="仿宋_GB2312" w:cs="仿宋_GB2312"/>
          <w:color w:val="auto"/>
          <w:sz w:val="32"/>
          <w:lang w:val="en-US" w:eastAsia="zh-CN"/>
        </w:rPr>
        <w:t>第一节 学习贯彻习近平总书记关于注重家庭家教家风的重要论述</w:t>
      </w:r>
      <w:r>
        <w:rPr>
          <w:rFonts w:hint="eastAsia" w:ascii="仿宋_GB2312" w:hAnsi="仿宋_GB2312" w:eastAsia="仿宋_GB2312" w:cs="仿宋_GB2312"/>
          <w:color w:val="auto"/>
          <w:sz w:val="32"/>
        </w:rPr>
        <w:tab/>
      </w:r>
      <w:r>
        <w:rPr>
          <w:rFonts w:hint="eastAsia" w:ascii="Times New Roman" w:hAnsi="Times New Roman" w:eastAsia="仿宋_GB2312" w:cs="Times New Roman"/>
          <w:color w:val="auto"/>
          <w:kern w:val="2"/>
          <w:sz w:val="32"/>
          <w:szCs w:val="24"/>
          <w:lang w:val="en-US" w:eastAsia="zh-CN" w:bidi="ar-SA"/>
        </w:rPr>
        <w:t>5</w:t>
      </w:r>
    </w:p>
    <w:p w14:paraId="71F6685F">
      <w:pPr>
        <w:pStyle w:val="13"/>
        <w:tabs>
          <w:tab w:val="right" w:leader="dot" w:pos="8845"/>
        </w:tabs>
        <w:rPr>
          <w:rFonts w:hint="eastAsia" w:ascii="仿宋_GB2312" w:hAnsi="仿宋_GB2312" w:eastAsia="仿宋_GB2312" w:cs="仿宋_GB2312"/>
          <w:color w:val="auto"/>
          <w:sz w:val="32"/>
          <w:lang w:val="en-US" w:eastAsia="zh-CN"/>
        </w:rPr>
      </w:pPr>
      <w:r>
        <w:rPr>
          <w:rFonts w:hint="eastAsia" w:ascii="仿宋_GB2312" w:hAnsi="仿宋_GB2312" w:eastAsia="仿宋_GB2312" w:cs="仿宋_GB2312"/>
          <w:color w:val="auto"/>
          <w:sz w:val="32"/>
          <w:lang w:val="en-US" w:eastAsia="zh-CN"/>
        </w:rPr>
        <w:t>第二节 构建规范化的家庭教育指导服务机构</w:t>
      </w:r>
      <w:r>
        <w:rPr>
          <w:rFonts w:hint="eastAsia" w:ascii="仿宋_GB2312" w:hAnsi="仿宋_GB2312" w:eastAsia="仿宋_GB2312" w:cs="仿宋_GB2312"/>
          <w:color w:val="auto"/>
          <w:sz w:val="32"/>
        </w:rPr>
        <w:tab/>
      </w:r>
      <w:r>
        <w:rPr>
          <w:rFonts w:hint="eastAsia" w:ascii="Times New Roman" w:hAnsi="Times New Roman" w:eastAsia="仿宋_GB2312" w:cs="Times New Roman"/>
          <w:color w:val="auto"/>
          <w:kern w:val="2"/>
          <w:sz w:val="32"/>
          <w:szCs w:val="24"/>
          <w:lang w:val="en-US" w:eastAsia="zh-CN" w:bidi="ar-SA"/>
        </w:rPr>
        <w:t>7</w:t>
      </w:r>
    </w:p>
    <w:p w14:paraId="3F2623CC">
      <w:pPr>
        <w:pStyle w:val="13"/>
        <w:tabs>
          <w:tab w:val="right" w:leader="dot" w:pos="8845"/>
        </w:tabs>
        <w:rPr>
          <w:rFonts w:hint="eastAsia" w:ascii="仿宋_GB2312" w:hAnsi="仿宋_GB2312" w:eastAsia="仿宋_GB2312" w:cs="仿宋_GB2312"/>
          <w:color w:val="auto"/>
          <w:sz w:val="32"/>
          <w:lang w:val="en-US" w:eastAsia="zh-CN"/>
        </w:rPr>
      </w:pPr>
      <w:r>
        <w:rPr>
          <w:rFonts w:hint="eastAsia" w:ascii="仿宋_GB2312" w:hAnsi="仿宋_GB2312" w:eastAsia="仿宋_GB2312" w:cs="仿宋_GB2312"/>
          <w:color w:val="auto"/>
          <w:sz w:val="32"/>
          <w:lang w:val="en-US" w:eastAsia="zh-CN"/>
        </w:rPr>
        <w:t>第三节 建设家庭教育指导服务队伍专业化</w:t>
      </w:r>
      <w:r>
        <w:rPr>
          <w:rFonts w:hint="eastAsia" w:ascii="仿宋_GB2312" w:hAnsi="仿宋_GB2312" w:eastAsia="仿宋_GB2312" w:cs="仿宋_GB2312"/>
          <w:color w:val="auto"/>
          <w:sz w:val="32"/>
        </w:rPr>
        <w:tab/>
      </w:r>
      <w:r>
        <w:rPr>
          <w:rFonts w:hint="default" w:ascii="Times New Roman" w:hAnsi="Times New Roman" w:eastAsia="仿宋_GB2312" w:cs="Times New Roman"/>
          <w:color w:val="auto"/>
          <w:sz w:val="32"/>
        </w:rPr>
        <w:t>1</w:t>
      </w:r>
      <w:r>
        <w:rPr>
          <w:rFonts w:hint="default" w:ascii="Times New Roman" w:hAnsi="Times New Roman" w:eastAsia="仿宋_GB2312" w:cs="Times New Roman"/>
          <w:color w:val="auto"/>
          <w:sz w:val="32"/>
          <w:lang w:val="en-US" w:eastAsia="zh-CN"/>
        </w:rPr>
        <w:t>1</w:t>
      </w:r>
    </w:p>
    <w:p w14:paraId="7BC460FE">
      <w:pPr>
        <w:pStyle w:val="13"/>
        <w:tabs>
          <w:tab w:val="right" w:leader="dot" w:pos="8845"/>
        </w:tabs>
        <w:rPr>
          <w:rFonts w:hint="eastAsia" w:ascii="仿宋_GB2312" w:hAnsi="仿宋_GB2312" w:eastAsia="仿宋_GB2312" w:cs="仿宋_GB2312"/>
          <w:color w:val="auto"/>
          <w:sz w:val="32"/>
          <w:lang w:val="en-US" w:eastAsia="zh-CN"/>
        </w:rPr>
      </w:pPr>
      <w:r>
        <w:rPr>
          <w:rFonts w:hint="eastAsia" w:ascii="仿宋_GB2312" w:hAnsi="仿宋_GB2312" w:eastAsia="仿宋_GB2312" w:cs="仿宋_GB2312"/>
          <w:color w:val="auto"/>
          <w:sz w:val="32"/>
          <w:lang w:val="en-US" w:eastAsia="zh-CN"/>
        </w:rPr>
        <w:t>第四节 完善制度化的家庭教育指导服务体系</w:t>
      </w:r>
      <w:r>
        <w:rPr>
          <w:rFonts w:hint="eastAsia" w:ascii="仿宋_GB2312" w:hAnsi="仿宋_GB2312" w:eastAsia="仿宋_GB2312" w:cs="仿宋_GB2312"/>
          <w:color w:val="auto"/>
          <w:sz w:val="32"/>
        </w:rPr>
        <w:tab/>
      </w:r>
      <w:r>
        <w:rPr>
          <w:rFonts w:hint="default" w:ascii="Times New Roman" w:hAnsi="Times New Roman" w:eastAsia="仿宋_GB2312" w:cs="Times New Roman"/>
          <w:color w:val="auto"/>
          <w:sz w:val="32"/>
          <w:lang w:val="en-US" w:eastAsia="zh-CN"/>
        </w:rPr>
        <w:t>13</w:t>
      </w:r>
    </w:p>
    <w:p w14:paraId="0CFF7CF4">
      <w:pPr>
        <w:pStyle w:val="13"/>
        <w:tabs>
          <w:tab w:val="right" w:leader="dot" w:pos="8845"/>
        </w:tabs>
        <w:rPr>
          <w:rFonts w:hint="eastAsia" w:ascii="仿宋_GB2312" w:hAnsi="仿宋_GB2312" w:eastAsia="仿宋_GB2312" w:cs="仿宋_GB2312"/>
          <w:color w:val="auto"/>
          <w:sz w:val="32"/>
          <w:lang w:val="en-US" w:eastAsia="zh-CN"/>
        </w:rPr>
      </w:pPr>
      <w:r>
        <w:rPr>
          <w:rFonts w:hint="eastAsia" w:ascii="仿宋_GB2312" w:hAnsi="仿宋_GB2312" w:eastAsia="仿宋_GB2312" w:cs="仿宋_GB2312"/>
          <w:color w:val="auto"/>
          <w:sz w:val="32"/>
          <w:lang w:val="en-US" w:eastAsia="zh-CN"/>
        </w:rPr>
        <w:t>第五节 构建家庭教育数字化服务系统</w:t>
      </w:r>
      <w:r>
        <w:rPr>
          <w:rFonts w:hint="eastAsia" w:ascii="仿宋_GB2312" w:hAnsi="仿宋_GB2312" w:eastAsia="仿宋_GB2312" w:cs="仿宋_GB2312"/>
          <w:color w:val="auto"/>
          <w:sz w:val="32"/>
        </w:rPr>
        <w:tab/>
      </w:r>
      <w:r>
        <w:rPr>
          <w:rFonts w:hint="default" w:ascii="Times New Roman" w:hAnsi="Times New Roman" w:eastAsia="仿宋_GB2312" w:cs="Times New Roman"/>
          <w:color w:val="auto"/>
          <w:sz w:val="32"/>
          <w:lang w:val="en-US" w:eastAsia="zh-CN"/>
        </w:rPr>
        <w:t>13</w:t>
      </w:r>
    </w:p>
    <w:p w14:paraId="2D6EAA52">
      <w:pPr>
        <w:pStyle w:val="13"/>
        <w:tabs>
          <w:tab w:val="right" w:leader="dot" w:pos="8845"/>
        </w:tabs>
        <w:rPr>
          <w:rFonts w:hint="eastAsia" w:ascii="仿宋_GB2312" w:hAnsi="仿宋_GB2312" w:eastAsia="仿宋_GB2312" w:cs="仿宋_GB2312"/>
          <w:color w:val="auto"/>
          <w:sz w:val="32"/>
          <w:lang w:val="en-US" w:eastAsia="zh-CN"/>
        </w:rPr>
      </w:pPr>
      <w:r>
        <w:rPr>
          <w:rFonts w:hint="eastAsia" w:ascii="仿宋_GB2312" w:hAnsi="仿宋_GB2312" w:eastAsia="仿宋_GB2312" w:cs="仿宋_GB2312"/>
          <w:color w:val="auto"/>
          <w:sz w:val="32"/>
          <w:lang w:val="en-US" w:eastAsia="zh-CN"/>
        </w:rPr>
        <w:t>第六节 构建系统化家庭教育指导服务机制</w:t>
      </w:r>
      <w:r>
        <w:rPr>
          <w:rFonts w:hint="eastAsia" w:ascii="仿宋_GB2312" w:hAnsi="仿宋_GB2312" w:eastAsia="仿宋_GB2312" w:cs="仿宋_GB2312"/>
          <w:color w:val="auto"/>
          <w:sz w:val="32"/>
        </w:rPr>
        <w:tab/>
      </w:r>
      <w:r>
        <w:rPr>
          <w:rFonts w:hint="default" w:ascii="Times New Roman" w:hAnsi="Times New Roman" w:eastAsia="仿宋_GB2312" w:cs="Times New Roman"/>
          <w:color w:val="auto"/>
          <w:sz w:val="32"/>
          <w:lang w:val="en-US" w:eastAsia="zh-CN"/>
        </w:rPr>
        <w:t>15</w:t>
      </w:r>
    </w:p>
    <w:p w14:paraId="07F9FE11">
      <w:pPr>
        <w:pStyle w:val="11"/>
        <w:tabs>
          <w:tab w:val="right" w:leader="dot" w:pos="8845"/>
        </w:tabs>
        <w:rPr>
          <w:rFonts w:hint="eastAsia" w:ascii="仿宋_GB2312" w:hAnsi="仿宋_GB2312" w:eastAsia="仿宋_GB2312" w:cs="仿宋_GB2312"/>
          <w:color w:val="auto"/>
          <w:sz w:val="32"/>
          <w:lang w:val="en-US" w:eastAsia="zh-CN"/>
        </w:rPr>
      </w:pPr>
      <w:r>
        <w:rPr>
          <w:rFonts w:hint="eastAsia" w:ascii="仿宋_GB2312" w:hAnsi="仿宋_GB2312" w:eastAsia="仿宋_GB2312" w:cs="仿宋_GB2312"/>
          <w:color w:val="auto"/>
          <w:sz w:val="32"/>
        </w:rPr>
        <w:t>第</w:t>
      </w:r>
      <w:r>
        <w:rPr>
          <w:rFonts w:hint="eastAsia" w:ascii="仿宋_GB2312" w:hAnsi="仿宋_GB2312" w:eastAsia="仿宋_GB2312" w:cs="仿宋_GB2312"/>
          <w:color w:val="auto"/>
          <w:sz w:val="32"/>
          <w:lang w:eastAsia="zh-CN"/>
        </w:rPr>
        <w:t>三</w:t>
      </w:r>
      <w:r>
        <w:rPr>
          <w:rFonts w:hint="eastAsia" w:ascii="仿宋_GB2312" w:hAnsi="仿宋_GB2312" w:eastAsia="仿宋_GB2312" w:cs="仿宋_GB2312"/>
          <w:color w:val="auto"/>
          <w:sz w:val="32"/>
        </w:rPr>
        <w:t>章 强化规划保障领导</w:t>
      </w:r>
      <w:r>
        <w:rPr>
          <w:rFonts w:hint="eastAsia" w:ascii="仿宋_GB2312" w:hAnsi="仿宋_GB2312" w:eastAsia="仿宋_GB2312" w:cs="仿宋_GB2312"/>
          <w:color w:val="auto"/>
          <w:sz w:val="32"/>
        </w:rPr>
        <w:tab/>
      </w:r>
      <w:r>
        <w:rPr>
          <w:rFonts w:hint="default" w:ascii="Times New Roman" w:hAnsi="Times New Roman" w:eastAsia="仿宋_GB2312" w:cs="Times New Roman"/>
          <w:color w:val="auto"/>
          <w:sz w:val="32"/>
          <w:lang w:val="en-US" w:eastAsia="zh-CN"/>
        </w:rPr>
        <w:t>17</w:t>
      </w:r>
    </w:p>
    <w:p w14:paraId="1FF2E5AA">
      <w:pPr>
        <w:pStyle w:val="13"/>
        <w:tabs>
          <w:tab w:val="right" w:leader="dot" w:pos="8845"/>
        </w:tabs>
        <w:rPr>
          <w:rFonts w:hint="eastAsia" w:ascii="仿宋_GB2312" w:hAnsi="仿宋_GB2312" w:eastAsia="仿宋_GB2312" w:cs="仿宋_GB2312"/>
          <w:color w:val="auto"/>
          <w:sz w:val="32"/>
          <w:lang w:val="en-US" w:eastAsia="zh-CN"/>
        </w:rPr>
      </w:pPr>
      <w:r>
        <w:rPr>
          <w:rFonts w:hint="eastAsia" w:ascii="仿宋_GB2312" w:hAnsi="仿宋_GB2312" w:eastAsia="仿宋_GB2312" w:cs="仿宋_GB2312"/>
          <w:color w:val="auto"/>
          <w:sz w:val="32"/>
        </w:rPr>
        <w:t>第一节 加强党对家庭教育事业的全面领导</w:t>
      </w:r>
      <w:r>
        <w:rPr>
          <w:rFonts w:hint="eastAsia" w:ascii="仿宋_GB2312" w:hAnsi="仿宋_GB2312" w:eastAsia="仿宋_GB2312" w:cs="仿宋_GB2312"/>
          <w:color w:val="auto"/>
          <w:sz w:val="32"/>
        </w:rPr>
        <w:tab/>
      </w:r>
      <w:r>
        <w:rPr>
          <w:rFonts w:hint="default" w:ascii="Times New Roman" w:hAnsi="Times New Roman" w:eastAsia="仿宋_GB2312" w:cs="Times New Roman"/>
          <w:color w:val="auto"/>
          <w:sz w:val="32"/>
          <w:lang w:val="en-US" w:eastAsia="zh-CN"/>
        </w:rPr>
        <w:t>17</w:t>
      </w:r>
    </w:p>
    <w:p w14:paraId="6025B46D">
      <w:pPr>
        <w:pStyle w:val="13"/>
        <w:tabs>
          <w:tab w:val="right" w:leader="dot" w:pos="8845"/>
        </w:tabs>
        <w:rPr>
          <w:rFonts w:hint="eastAsia" w:ascii="仿宋_GB2312" w:hAnsi="仿宋_GB2312" w:eastAsia="仿宋_GB2312" w:cs="仿宋_GB2312"/>
          <w:color w:val="auto"/>
          <w:sz w:val="32"/>
          <w:lang w:val="en-US" w:eastAsia="zh-CN"/>
        </w:rPr>
      </w:pPr>
      <w:r>
        <w:rPr>
          <w:rFonts w:hint="eastAsia" w:ascii="仿宋_GB2312" w:hAnsi="仿宋_GB2312" w:eastAsia="仿宋_GB2312" w:cs="仿宋_GB2312"/>
          <w:color w:val="auto"/>
          <w:sz w:val="32"/>
        </w:rPr>
        <w:t>第二节 完善家庭教育投入支撑机制</w:t>
      </w:r>
      <w:r>
        <w:rPr>
          <w:rFonts w:hint="eastAsia" w:ascii="仿宋_GB2312" w:hAnsi="仿宋_GB2312" w:eastAsia="仿宋_GB2312" w:cs="仿宋_GB2312"/>
          <w:color w:val="auto"/>
          <w:sz w:val="32"/>
        </w:rPr>
        <w:tab/>
      </w:r>
      <w:r>
        <w:rPr>
          <w:rFonts w:hint="default" w:ascii="Times New Roman" w:hAnsi="Times New Roman" w:eastAsia="仿宋_GB2312" w:cs="Times New Roman"/>
          <w:color w:val="auto"/>
          <w:sz w:val="32"/>
          <w:lang w:val="en-US" w:eastAsia="zh-CN"/>
        </w:rPr>
        <w:t>18</w:t>
      </w:r>
    </w:p>
    <w:p w14:paraId="5A81EF28">
      <w:pPr>
        <w:pStyle w:val="13"/>
        <w:tabs>
          <w:tab w:val="right" w:leader="dot" w:pos="8845"/>
        </w:tabs>
        <w:rPr>
          <w:rFonts w:hint="eastAsia" w:ascii="仿宋_GB2312" w:hAnsi="仿宋_GB2312" w:eastAsia="仿宋_GB2312" w:cs="仿宋_GB2312"/>
          <w:color w:val="auto"/>
          <w:sz w:val="32"/>
          <w:lang w:val="en-US" w:eastAsia="zh-CN"/>
        </w:rPr>
      </w:pPr>
      <w:r>
        <w:rPr>
          <w:rFonts w:hint="eastAsia" w:ascii="仿宋_GB2312" w:hAnsi="仿宋_GB2312" w:eastAsia="仿宋_GB2312" w:cs="仿宋_GB2312"/>
          <w:color w:val="auto"/>
          <w:sz w:val="32"/>
        </w:rPr>
        <w:t>第三节 强化责任落实与部门协同</w:t>
      </w:r>
      <w:r>
        <w:rPr>
          <w:rFonts w:hint="eastAsia" w:ascii="仿宋_GB2312" w:hAnsi="仿宋_GB2312" w:eastAsia="仿宋_GB2312" w:cs="仿宋_GB2312"/>
          <w:color w:val="auto"/>
          <w:sz w:val="32"/>
        </w:rPr>
        <w:tab/>
      </w:r>
      <w:r>
        <w:rPr>
          <w:rFonts w:hint="default" w:ascii="Times New Roman" w:hAnsi="Times New Roman" w:eastAsia="仿宋_GB2312" w:cs="Times New Roman"/>
          <w:color w:val="auto"/>
          <w:sz w:val="32"/>
          <w:lang w:val="en-US" w:eastAsia="zh-CN"/>
        </w:rPr>
        <w:t>18</w:t>
      </w:r>
    </w:p>
    <w:p w14:paraId="5C72D7B3">
      <w:pPr>
        <w:pStyle w:val="3"/>
        <w:pageBreakBefore w:val="0"/>
        <w:kinsoku/>
        <w:wordWrap/>
        <w:overflowPunct/>
        <w:topLinePunct w:val="0"/>
        <w:autoSpaceDN/>
        <w:bidi w:val="0"/>
        <w:adjustRightInd/>
        <w:spacing w:line="560" w:lineRule="exact"/>
        <w:textAlignment w:val="auto"/>
        <w:rPr>
          <w:rFonts w:hint="default"/>
          <w:color w:val="auto"/>
          <w:sz w:val="36"/>
          <w:szCs w:val="36"/>
        </w:rPr>
        <w:sectPr>
          <w:footerReference r:id="rId3" w:type="default"/>
          <w:pgSz w:w="11906" w:h="16838"/>
          <w:pgMar w:top="2098" w:right="1587" w:bottom="2098" w:left="1587" w:header="851" w:footer="992" w:gutter="0"/>
          <w:pgBorders>
            <w:top w:val="none" w:sz="0" w:space="0"/>
            <w:left w:val="none" w:sz="0" w:space="0"/>
            <w:bottom w:val="none" w:sz="0" w:space="0"/>
            <w:right w:val="none" w:sz="0" w:space="0"/>
          </w:pgBorders>
          <w:lnNumType w:countBy="0" w:distance="360"/>
          <w:pgNumType w:fmt="numberInDash" w:start="1"/>
          <w:cols w:space="720" w:num="1"/>
          <w:docGrid w:type="lines" w:linePitch="319" w:charSpace="0"/>
        </w:sectPr>
      </w:pPr>
      <w:bookmarkStart w:id="2" w:name="_Toc1127416865"/>
      <w:bookmarkStart w:id="3" w:name="_Toc19200"/>
      <w:bookmarkStart w:id="4" w:name="_Toc28473691"/>
      <w:bookmarkStart w:id="5" w:name="_Toc1316380747"/>
      <w:bookmarkStart w:id="6" w:name="_Toc730068896"/>
      <w:bookmarkStart w:id="7" w:name="_Toc1398163484"/>
      <w:bookmarkStart w:id="8" w:name="_Toc1874196214"/>
    </w:p>
    <w:p w14:paraId="5F76A231">
      <w:pPr>
        <w:pStyle w:val="3"/>
        <w:pageBreakBefore w:val="0"/>
        <w:kinsoku/>
        <w:wordWrap/>
        <w:overflowPunct/>
        <w:topLinePunct w:val="0"/>
        <w:autoSpaceDN/>
        <w:bidi w:val="0"/>
        <w:adjustRightInd/>
        <w:spacing w:line="560" w:lineRule="exact"/>
        <w:textAlignment w:val="auto"/>
        <w:rPr>
          <w:rFonts w:hint="default"/>
          <w:color w:val="auto"/>
          <w:sz w:val="36"/>
          <w:szCs w:val="36"/>
        </w:rPr>
      </w:pPr>
      <w:r>
        <w:rPr>
          <w:rFonts w:hint="default"/>
          <w:color w:val="auto"/>
          <w:sz w:val="36"/>
          <w:szCs w:val="36"/>
        </w:rPr>
        <w:t>第</w:t>
      </w:r>
      <w:r>
        <w:rPr>
          <w:rFonts w:hint="eastAsia"/>
          <w:color w:val="auto"/>
          <w:sz w:val="36"/>
          <w:szCs w:val="36"/>
          <w:lang w:eastAsia="zh-CN"/>
        </w:rPr>
        <w:t>一</w:t>
      </w:r>
      <w:r>
        <w:rPr>
          <w:rFonts w:hint="default"/>
          <w:color w:val="auto"/>
          <w:sz w:val="36"/>
          <w:szCs w:val="36"/>
        </w:rPr>
        <w:t>章</w:t>
      </w:r>
      <w:r>
        <w:rPr>
          <w:rFonts w:hint="default"/>
          <w:color w:val="auto"/>
          <w:sz w:val="36"/>
          <w:szCs w:val="36"/>
          <w:lang w:val="en-US" w:eastAsia="zh-CN"/>
        </w:rPr>
        <w:t xml:space="preserve"> </w:t>
      </w:r>
      <w:r>
        <w:rPr>
          <w:rFonts w:hint="default"/>
          <w:color w:val="auto"/>
          <w:sz w:val="36"/>
          <w:szCs w:val="36"/>
        </w:rPr>
        <w:t>指导思想与总体要求</w:t>
      </w:r>
      <w:bookmarkEnd w:id="2"/>
      <w:bookmarkEnd w:id="3"/>
      <w:bookmarkEnd w:id="4"/>
      <w:bookmarkEnd w:id="5"/>
    </w:p>
    <w:p w14:paraId="684BFB94">
      <w:pPr>
        <w:pStyle w:val="4"/>
        <w:pageBreakBefore w:val="0"/>
        <w:kinsoku/>
        <w:wordWrap/>
        <w:overflowPunct/>
        <w:topLinePunct w:val="0"/>
        <w:autoSpaceDN/>
        <w:bidi w:val="0"/>
        <w:adjustRightInd/>
        <w:spacing w:line="560" w:lineRule="exact"/>
        <w:textAlignment w:val="auto"/>
        <w:rPr>
          <w:rFonts w:hint="eastAsia" w:ascii="黑体" w:hAnsi="黑体" w:eastAsia="黑体" w:cs="黑体"/>
          <w:color w:val="auto"/>
        </w:rPr>
      </w:pPr>
      <w:bookmarkStart w:id="9" w:name="_Toc362559642"/>
      <w:bookmarkStart w:id="10" w:name="_Toc26873"/>
      <w:bookmarkStart w:id="11" w:name="_Toc1409494703"/>
      <w:bookmarkStart w:id="12" w:name="_Toc1463201293"/>
      <w:r>
        <w:rPr>
          <w:rFonts w:hint="eastAsia" w:ascii="黑体" w:hAnsi="黑体" w:eastAsia="黑体" w:cs="黑体"/>
          <w:color w:val="auto"/>
        </w:rPr>
        <w:t>第一节 指导思想</w:t>
      </w:r>
      <w:bookmarkEnd w:id="9"/>
      <w:bookmarkEnd w:id="10"/>
      <w:bookmarkEnd w:id="11"/>
      <w:bookmarkEnd w:id="12"/>
    </w:p>
    <w:p w14:paraId="676C62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color w:val="auto"/>
          <w:sz w:val="32"/>
          <w:szCs w:val="40"/>
          <w:highlight w:val="none"/>
          <w:lang w:val="en-US" w:eastAsia="zh-CN"/>
        </w:rPr>
      </w:pPr>
      <w:bookmarkStart w:id="13" w:name="OLE_LINK1"/>
      <w:r>
        <w:rPr>
          <w:rFonts w:hint="eastAsia" w:ascii="仿宋_GB2312" w:hAnsi="仿宋_GB2312" w:eastAsia="仿宋_GB2312" w:cs="仿宋_GB2312"/>
          <w:b w:val="0"/>
          <w:bCs/>
          <w:color w:val="auto"/>
          <w:sz w:val="32"/>
          <w:szCs w:val="40"/>
          <w:highlight w:val="none"/>
          <w:lang w:val="en-US" w:eastAsia="zh-CN"/>
        </w:rPr>
        <w:t>坚持以习近平新时代中国特色社会主义思想为指导，全面贯彻党的二十大和二十届历次全会精神，深入学习贯彻习近平总书记关于注重家庭家教家风建设和未成年人思想道德建设的重要论述，统筹推进“五位一体”总体布局和协调推进“四个全面”战略布局，以立德树人为根本任务，以铸牢中华民族共同体意识为主线，以培育和践行社会主义核心价值观、加强未成年人思想道德教育为核心，依据师市“十五五”规划和师市妇女、儿童发展规划，围绕高质量推进师域治理现代化要求，融合传统文化与时代需求，引导全社会重视和加强家庭教育，注重发挥家庭家教家风建设在基层治理中的作用机制，以构建科学完善和高效的家庭教育指导服务体系、强化家长家庭教育主体责任、健全家校社协同育人机制、促进未成年人健康成长为目标，进一步提升师市家庭教育公共服务供给水平，增强家庭教育指导服务覆盖面、精准度和有效性，为争当兵团高质量发展主引擎，聚力建设幸福新星奠定家庭和人才基础。</w:t>
      </w:r>
    </w:p>
    <w:bookmarkEnd w:id="13"/>
    <w:p w14:paraId="05963091">
      <w:pPr>
        <w:pStyle w:val="4"/>
        <w:keepNext/>
        <w:keepLines/>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lang w:val="en-US" w:eastAsia="zh-CN"/>
        </w:rPr>
      </w:pPr>
      <w:bookmarkStart w:id="14" w:name="_Toc563483876"/>
      <w:bookmarkStart w:id="15" w:name="_Toc2073985889"/>
      <w:bookmarkStart w:id="16" w:name="_Toc1215442748"/>
      <w:bookmarkStart w:id="17" w:name="_Toc30112"/>
      <w:r>
        <w:rPr>
          <w:rFonts w:hint="eastAsia" w:ascii="黑体" w:hAnsi="黑体" w:eastAsia="黑体" w:cs="黑体"/>
          <w:color w:val="auto"/>
        </w:rPr>
        <w:t xml:space="preserve">第二节 </w:t>
      </w:r>
      <w:bookmarkEnd w:id="14"/>
      <w:bookmarkEnd w:id="15"/>
      <w:bookmarkEnd w:id="16"/>
      <w:r>
        <w:rPr>
          <w:rFonts w:hint="eastAsia" w:ascii="黑体" w:hAnsi="黑体" w:eastAsia="黑体" w:cs="黑体"/>
          <w:color w:val="auto"/>
          <w:lang w:val="en-US" w:eastAsia="zh-CN"/>
        </w:rPr>
        <w:t>基本原则</w:t>
      </w:r>
      <w:bookmarkEnd w:id="17"/>
    </w:p>
    <w:p w14:paraId="030405A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坚持立德树人，强化价值引领。</w:t>
      </w:r>
      <w:r>
        <w:rPr>
          <w:rFonts w:hint="eastAsia" w:ascii="仿宋_GB2312" w:hAnsi="仿宋_GB2312" w:eastAsia="仿宋_GB2312" w:cs="仿宋_GB2312"/>
          <w:b w:val="0"/>
          <w:bCs/>
          <w:color w:val="auto"/>
          <w:sz w:val="32"/>
          <w:szCs w:val="40"/>
          <w:highlight w:val="none"/>
          <w:lang w:val="en-US" w:eastAsia="zh-CN"/>
        </w:rPr>
        <w:t>培育和践行社会主义核心价值观，将品德教育始终作为家庭教育指导服务的重要内容，帮助家长掌握科学家庭教育理念和方法，引导未成年人树立正确的国家观、民族观、历史观、文化观、宗教观。</w:t>
      </w:r>
    </w:p>
    <w:p w14:paraId="10FC49E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坚持系统推进，强化提质增效。</w:t>
      </w:r>
      <w:r>
        <w:rPr>
          <w:rFonts w:hint="eastAsia" w:ascii="仿宋_GB2312" w:hAnsi="仿宋_GB2312" w:eastAsia="仿宋_GB2312" w:cs="仿宋_GB2312"/>
          <w:b w:val="0"/>
          <w:bCs/>
          <w:color w:val="auto"/>
          <w:sz w:val="32"/>
          <w:szCs w:val="40"/>
          <w:highlight w:val="none"/>
          <w:lang w:val="en-US" w:eastAsia="zh-CN"/>
        </w:rPr>
        <w:t>聚焦家长关心、社会关注的重点难点问题，以需求为导向，为家庭提供多元化、精准化指导服务。</w:t>
      </w:r>
    </w:p>
    <w:p w14:paraId="4719028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坚持家长主体，强化多元协同。</w:t>
      </w:r>
      <w:r>
        <w:rPr>
          <w:rFonts w:hint="eastAsia" w:ascii="仿宋_GB2312" w:hAnsi="仿宋_GB2312" w:eastAsia="仿宋_GB2312" w:cs="仿宋_GB2312"/>
          <w:b w:val="0"/>
          <w:bCs/>
          <w:color w:val="auto"/>
          <w:sz w:val="32"/>
          <w:szCs w:val="40"/>
          <w:highlight w:val="none"/>
          <w:lang w:val="en-US" w:eastAsia="zh-CN"/>
        </w:rPr>
        <w:t>进一步引导家长依法履行家庭教育的主体责任，坚持亲自养育，加强亲子陪伴，推动家庭成员共同参与。</w:t>
      </w:r>
    </w:p>
    <w:p w14:paraId="01E8ACE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坚持创新驱动，强化共建共享。</w:t>
      </w:r>
      <w:r>
        <w:rPr>
          <w:rFonts w:hint="eastAsia" w:ascii="仿宋_GB2312" w:hAnsi="仿宋_GB2312" w:eastAsia="仿宋_GB2312" w:cs="仿宋_GB2312"/>
          <w:b w:val="0"/>
          <w:bCs/>
          <w:color w:val="auto"/>
          <w:sz w:val="32"/>
          <w:szCs w:val="40"/>
          <w:highlight w:val="none"/>
          <w:lang w:val="en-US" w:eastAsia="zh-CN"/>
        </w:rPr>
        <w:t>以家庭教育理论创新为基础，以构建家庭教育数字化平台为支撑，建成集管理、服务、资源于一体的数字平台。</w:t>
      </w:r>
    </w:p>
    <w:p w14:paraId="089916AC">
      <w:pPr>
        <w:pStyle w:val="4"/>
        <w:pageBreakBefore w:val="0"/>
        <w:kinsoku/>
        <w:wordWrap/>
        <w:overflowPunct/>
        <w:topLinePunct w:val="0"/>
        <w:autoSpaceDN/>
        <w:bidi w:val="0"/>
        <w:adjustRightInd/>
        <w:spacing w:line="560" w:lineRule="exact"/>
        <w:textAlignment w:val="auto"/>
        <w:rPr>
          <w:rFonts w:hint="eastAsia" w:ascii="黑体" w:hAnsi="黑体" w:eastAsia="黑体" w:cs="黑体"/>
          <w:color w:val="auto"/>
          <w:lang w:val="en-US" w:eastAsia="zh-CN"/>
        </w:rPr>
      </w:pPr>
      <w:bookmarkStart w:id="18" w:name="_Toc1030286773"/>
      <w:bookmarkStart w:id="19" w:name="_Toc533512222"/>
      <w:bookmarkStart w:id="20" w:name="_Toc1894547789"/>
      <w:bookmarkStart w:id="21" w:name="_Toc2153"/>
      <w:r>
        <w:rPr>
          <w:rFonts w:hint="eastAsia" w:ascii="黑体" w:hAnsi="黑体" w:eastAsia="黑体" w:cs="黑体"/>
          <w:color w:val="auto"/>
        </w:rPr>
        <w:t>第</w:t>
      </w:r>
      <w:r>
        <w:rPr>
          <w:rFonts w:hint="eastAsia" w:ascii="黑体" w:hAnsi="黑体" w:eastAsia="黑体" w:cs="黑体"/>
          <w:color w:val="auto"/>
          <w:lang w:val="en-US" w:eastAsia="zh-CN"/>
        </w:rPr>
        <w:t xml:space="preserve">三节 </w:t>
      </w:r>
      <w:bookmarkEnd w:id="18"/>
      <w:bookmarkEnd w:id="19"/>
      <w:bookmarkEnd w:id="20"/>
      <w:r>
        <w:rPr>
          <w:rFonts w:hint="eastAsia" w:ascii="黑体" w:hAnsi="黑体" w:eastAsia="黑体" w:cs="黑体"/>
          <w:color w:val="auto"/>
          <w:lang w:val="en-US" w:eastAsia="zh-CN"/>
        </w:rPr>
        <w:t>总体目标</w:t>
      </w:r>
      <w:bookmarkEnd w:id="21"/>
    </w:p>
    <w:p w14:paraId="5AA3EBF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color w:val="auto"/>
          <w:sz w:val="32"/>
          <w:szCs w:val="40"/>
          <w:highlight w:val="none"/>
          <w:lang w:val="en-US" w:eastAsia="zh-CN"/>
        </w:rPr>
      </w:pPr>
      <w:bookmarkStart w:id="22" w:name="_Toc195842335"/>
      <w:bookmarkStart w:id="23" w:name="_Toc872348587"/>
      <w:bookmarkStart w:id="24" w:name="_Toc375960650"/>
      <w:r>
        <w:rPr>
          <w:rFonts w:hint="eastAsia" w:ascii="仿宋_GB2312" w:hAnsi="仿宋_GB2312" w:eastAsia="仿宋_GB2312" w:cs="仿宋_GB2312"/>
          <w:b w:val="0"/>
          <w:bCs/>
          <w:color w:val="auto"/>
          <w:sz w:val="32"/>
          <w:szCs w:val="40"/>
          <w:highlight w:val="none"/>
          <w:lang w:val="en-US" w:eastAsia="zh-CN"/>
        </w:rPr>
        <w:t>到</w:t>
      </w:r>
      <w:r>
        <w:rPr>
          <w:rFonts w:hint="default" w:ascii="Times New Roman" w:hAnsi="Times New Roman" w:eastAsia="仿宋_GB2312" w:cs="Times New Roman"/>
          <w:b w:val="0"/>
          <w:bCs/>
          <w:color w:val="auto"/>
          <w:sz w:val="32"/>
          <w:szCs w:val="40"/>
          <w:highlight w:val="none"/>
          <w:lang w:val="en-US" w:eastAsia="zh-CN"/>
        </w:rPr>
        <w:t>2030</w:t>
      </w:r>
      <w:r>
        <w:rPr>
          <w:rFonts w:hint="eastAsia" w:ascii="仿宋_GB2312" w:hAnsi="仿宋_GB2312" w:eastAsia="仿宋_GB2312" w:cs="仿宋_GB2312"/>
          <w:b w:val="0"/>
          <w:bCs/>
          <w:color w:val="auto"/>
          <w:sz w:val="32"/>
          <w:szCs w:val="40"/>
          <w:highlight w:val="none"/>
          <w:lang w:val="en-US" w:eastAsia="zh-CN"/>
        </w:rPr>
        <w:t>年，全面建成与师市经济社会发展水平相适应、与兵团职责使命相契合的现代家庭教育指导服务体系，实现制度完备、机制健全、服务优质、充满活力的发展目标。家长主体责任意识全面增强，科学育儿能力显著提升，优良家风家教氛围更加浓厚，家庭学校社会协同育人机制更加健全，家庭教育的基础性作用更加坚实。具体表现为以下四个方面。</w:t>
      </w:r>
    </w:p>
    <w:p w14:paraId="5A1B2E3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一是家长责任全面强化。</w:t>
      </w:r>
      <w:r>
        <w:rPr>
          <w:rFonts w:hint="eastAsia" w:ascii="仿宋_GB2312" w:hAnsi="仿宋_GB2312" w:eastAsia="仿宋_GB2312" w:cs="仿宋_GB2312"/>
          <w:b w:val="0"/>
          <w:bCs/>
          <w:color w:val="auto"/>
          <w:sz w:val="32"/>
          <w:szCs w:val="40"/>
          <w:highlight w:val="none"/>
          <w:lang w:val="en-US" w:eastAsia="zh-CN"/>
        </w:rPr>
        <w:t>依托社区家长学校，开展广泛的家庭教育活动，引导家长树立科学育儿观，全面落实家长家庭教育主体责任，家长家庭教育观念普及率达</w:t>
      </w:r>
      <w:r>
        <w:rPr>
          <w:rFonts w:hint="default" w:ascii="Times New Roman" w:hAnsi="Times New Roman" w:eastAsia="仿宋_GB2312" w:cs="Times New Roman"/>
          <w:b w:val="0"/>
          <w:bCs/>
          <w:color w:val="auto"/>
          <w:sz w:val="32"/>
          <w:szCs w:val="40"/>
          <w:highlight w:val="none"/>
          <w:lang w:val="en-US" w:eastAsia="zh-CN"/>
        </w:rPr>
        <w:t>80</w:t>
      </w:r>
      <w:r>
        <w:rPr>
          <w:rFonts w:hint="eastAsia" w:ascii="仿宋_GB2312" w:hAnsi="仿宋_GB2312" w:eastAsia="仿宋_GB2312" w:cs="仿宋_GB2312"/>
          <w:b w:val="0"/>
          <w:bCs/>
          <w:color w:val="auto"/>
          <w:sz w:val="32"/>
          <w:szCs w:val="40"/>
          <w:highlight w:val="none"/>
          <w:lang w:val="en-US" w:eastAsia="zh-CN"/>
        </w:rPr>
        <w:t>%。</w:t>
      </w:r>
    </w:p>
    <w:p w14:paraId="0E7AE62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二是服务阵地全域覆盖。</w:t>
      </w:r>
      <w:r>
        <w:rPr>
          <w:rFonts w:hint="eastAsia" w:ascii="仿宋_GB2312" w:hAnsi="仿宋_GB2312" w:eastAsia="仿宋_GB2312" w:cs="仿宋_GB2312"/>
          <w:b w:val="0"/>
          <w:bCs/>
          <w:color w:val="auto"/>
          <w:sz w:val="32"/>
          <w:szCs w:val="40"/>
          <w:highlight w:val="none"/>
          <w:lang w:val="en-US" w:eastAsia="zh-CN"/>
        </w:rPr>
        <w:t>优化布局，联动多方力量整合资源，推动优质家庭教育公共服务向基层延伸、向特殊群体倾斜，师市</w:t>
      </w:r>
      <w:r>
        <w:rPr>
          <w:rFonts w:hint="default" w:ascii="Times New Roman" w:hAnsi="Times New Roman" w:eastAsia="仿宋_GB2312" w:cs="Times New Roman"/>
          <w:b w:val="0"/>
          <w:bCs/>
          <w:color w:val="auto"/>
          <w:sz w:val="32"/>
          <w:szCs w:val="40"/>
          <w:highlight w:val="none"/>
          <w:lang w:val="en-US" w:eastAsia="zh-CN"/>
        </w:rPr>
        <w:t>10</w:t>
      </w:r>
      <w:r>
        <w:rPr>
          <w:rFonts w:hint="eastAsia" w:ascii="仿宋_GB2312" w:hAnsi="仿宋_GB2312" w:eastAsia="仿宋_GB2312" w:cs="仿宋_GB2312"/>
          <w:b w:val="0"/>
          <w:bCs/>
          <w:color w:val="auto"/>
          <w:sz w:val="32"/>
          <w:szCs w:val="40"/>
          <w:highlight w:val="none"/>
          <w:lang w:val="en-US" w:eastAsia="zh-CN"/>
        </w:rPr>
        <w:t>0%的社区家长学校全覆盖，健全覆盖师市、布局合理、功能完善的家庭教育指导服务网络。</w:t>
      </w:r>
    </w:p>
    <w:p w14:paraId="0EF8F40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三是队伍建设专业提升。</w:t>
      </w:r>
      <w:r>
        <w:rPr>
          <w:rFonts w:hint="eastAsia" w:ascii="仿宋_GB2312" w:hAnsi="仿宋_GB2312" w:eastAsia="仿宋_GB2312" w:cs="仿宋_GB2312"/>
          <w:b w:val="0"/>
          <w:bCs/>
          <w:color w:val="auto"/>
          <w:sz w:val="32"/>
          <w:szCs w:val="40"/>
          <w:highlight w:val="none"/>
          <w:lang w:val="en-US" w:eastAsia="zh-CN"/>
        </w:rPr>
        <w:t>加强家庭教育骨干队伍培育，构建专业化、本土化指导团队，提升服务供给能力。“十五五”末每个社区的家庭教育服务队伍中至少含</w:t>
      </w:r>
      <w:r>
        <w:rPr>
          <w:rFonts w:hint="eastAsia" w:ascii="Times New Roman" w:hAnsi="Times New Roman" w:eastAsia="仿宋_GB2312" w:cs="Times New Roman"/>
          <w:b w:val="0"/>
          <w:bCs/>
          <w:color w:val="auto"/>
          <w:sz w:val="32"/>
          <w:szCs w:val="40"/>
          <w:highlight w:val="none"/>
          <w:lang w:val="en-US" w:eastAsia="zh-CN"/>
        </w:rPr>
        <w:t>3</w:t>
      </w:r>
      <w:r>
        <w:rPr>
          <w:rFonts w:hint="eastAsia" w:ascii="仿宋_GB2312" w:hAnsi="仿宋_GB2312" w:eastAsia="仿宋_GB2312" w:cs="仿宋_GB2312"/>
          <w:b w:val="0"/>
          <w:bCs/>
          <w:color w:val="auto"/>
          <w:sz w:val="32"/>
          <w:szCs w:val="40"/>
          <w:highlight w:val="none"/>
          <w:lang w:val="en-US" w:eastAsia="zh-CN"/>
        </w:rPr>
        <w:t>名持有证书的家庭教育指导师或心理咨询师、心理健康指导师。</w:t>
      </w:r>
    </w:p>
    <w:p w14:paraId="4E317C1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四是指导服务科学提质。</w:t>
      </w:r>
      <w:r>
        <w:rPr>
          <w:rFonts w:hint="eastAsia" w:ascii="仿宋_GB2312" w:hAnsi="仿宋_GB2312" w:eastAsia="仿宋_GB2312" w:cs="仿宋_GB2312"/>
          <w:b w:val="0"/>
          <w:bCs/>
          <w:color w:val="auto"/>
          <w:sz w:val="32"/>
          <w:szCs w:val="40"/>
          <w:highlight w:val="none"/>
          <w:lang w:val="en-US" w:eastAsia="zh-CN"/>
        </w:rPr>
        <w:t>完善家庭教育政策措施，特殊家庭建档立卡工作全覆盖，以政府购买服务方式，推动家庭教育指导专业化、精准化发展，“十五五”期间累计开展</w:t>
      </w:r>
      <w:r>
        <w:rPr>
          <w:rFonts w:hint="default" w:ascii="Times New Roman" w:hAnsi="Times New Roman" w:eastAsia="仿宋_GB2312" w:cs="Times New Roman"/>
          <w:b w:val="0"/>
          <w:bCs/>
          <w:color w:val="auto"/>
          <w:sz w:val="32"/>
          <w:szCs w:val="40"/>
          <w:highlight w:val="none"/>
          <w:lang w:val="en-US" w:eastAsia="zh-CN"/>
        </w:rPr>
        <w:t>1000</w:t>
      </w:r>
      <w:r>
        <w:rPr>
          <w:rFonts w:hint="eastAsia" w:ascii="仿宋_GB2312" w:hAnsi="仿宋_GB2312" w:eastAsia="仿宋_GB2312" w:cs="仿宋_GB2312"/>
          <w:b w:val="0"/>
          <w:bCs/>
          <w:color w:val="auto"/>
          <w:sz w:val="32"/>
          <w:szCs w:val="40"/>
          <w:highlight w:val="none"/>
          <w:lang w:val="en-US" w:eastAsia="zh-CN"/>
        </w:rPr>
        <w:t>场次家庭教育课程及活动，累计覆盖</w:t>
      </w:r>
      <w:r>
        <w:rPr>
          <w:rFonts w:hint="eastAsia" w:ascii="Times New Roman" w:hAnsi="Times New Roman" w:eastAsia="仿宋_GB2312" w:cs="Times New Roman"/>
          <w:b w:val="0"/>
          <w:bCs/>
          <w:color w:val="auto"/>
          <w:sz w:val="32"/>
          <w:szCs w:val="40"/>
          <w:highlight w:val="none"/>
          <w:lang w:val="en-US" w:eastAsia="zh-CN"/>
        </w:rPr>
        <w:t>6.5</w:t>
      </w:r>
      <w:r>
        <w:rPr>
          <w:rFonts w:hint="eastAsia" w:ascii="仿宋_GB2312" w:hAnsi="仿宋_GB2312" w:eastAsia="仿宋_GB2312" w:cs="仿宋_GB2312"/>
          <w:b w:val="0"/>
          <w:bCs/>
          <w:color w:val="auto"/>
          <w:sz w:val="32"/>
          <w:szCs w:val="40"/>
          <w:highlight w:val="none"/>
          <w:lang w:val="en-US" w:eastAsia="zh-CN"/>
        </w:rPr>
        <w:t>万（人次）的家长，切实提升服务的科学性与实效性。</w:t>
      </w:r>
    </w:p>
    <w:bookmarkEnd w:id="22"/>
    <w:bookmarkEnd w:id="23"/>
    <w:bookmarkEnd w:id="24"/>
    <w:p w14:paraId="3501CAF2">
      <w:pPr>
        <w:pStyle w:val="4"/>
        <w:bidi w:val="0"/>
        <w:rPr>
          <w:rFonts w:hint="eastAsia" w:ascii="黑体" w:hAnsi="黑体" w:eastAsia="黑体" w:cs="黑体"/>
          <w:color w:val="auto"/>
          <w:lang w:val="en-US" w:eastAsia="zh-CN"/>
        </w:rPr>
      </w:pPr>
      <w:bookmarkStart w:id="25" w:name="_Toc8322"/>
      <w:r>
        <w:rPr>
          <w:rFonts w:hint="eastAsia" w:ascii="黑体" w:hAnsi="黑体" w:eastAsia="黑体" w:cs="黑体"/>
          <w:color w:val="auto"/>
          <w:lang w:val="en-US" w:eastAsia="zh-CN"/>
        </w:rPr>
        <w:t>第四节 总体布局</w:t>
      </w:r>
      <w:bookmarkEnd w:id="25"/>
    </w:p>
    <w:p w14:paraId="76CFC6E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val="0"/>
          <w:bCs/>
          <w:color w:val="auto"/>
          <w:sz w:val="32"/>
          <w:szCs w:val="40"/>
          <w:highlight w:val="none"/>
          <w:lang w:val="en-US" w:eastAsia="zh-CN"/>
        </w:rPr>
        <w:t>构建“一个根本、五大支撑、全域覆盖”的总体布局，即“</w:t>
      </w:r>
      <w:r>
        <w:rPr>
          <w:rFonts w:hint="default" w:ascii="Times New Roman" w:hAnsi="Times New Roman" w:eastAsia="仿宋_GB2312" w:cs="Times New Roman"/>
          <w:b w:val="0"/>
          <w:bCs/>
          <w:color w:val="auto"/>
          <w:sz w:val="32"/>
          <w:szCs w:val="40"/>
          <w:highlight w:val="none"/>
          <w:lang w:val="en-US" w:eastAsia="zh-CN"/>
        </w:rPr>
        <w:t>1+5+</w:t>
      </w:r>
      <w:r>
        <w:rPr>
          <w:rFonts w:hint="eastAsia" w:ascii="仿宋_GB2312" w:hAnsi="仿宋_GB2312" w:eastAsia="仿宋_GB2312" w:cs="仿宋_GB2312"/>
          <w:b w:val="0"/>
          <w:bCs/>
          <w:color w:val="auto"/>
          <w:sz w:val="32"/>
          <w:szCs w:val="40"/>
          <w:highlight w:val="none"/>
          <w:lang w:val="en-US" w:eastAsia="zh-CN"/>
        </w:rPr>
        <w:t>N”。“</w:t>
      </w:r>
      <w:r>
        <w:rPr>
          <w:rFonts w:hint="default" w:ascii="Times New Roman" w:hAnsi="Times New Roman" w:eastAsia="仿宋_GB2312" w:cs="Times New Roman"/>
          <w:b w:val="0"/>
          <w:bCs/>
          <w:color w:val="auto"/>
          <w:sz w:val="32"/>
          <w:szCs w:val="40"/>
          <w:highlight w:val="none"/>
          <w:lang w:val="en-US" w:eastAsia="zh-CN"/>
        </w:rPr>
        <w:t>1</w:t>
      </w:r>
      <w:r>
        <w:rPr>
          <w:rFonts w:hint="eastAsia" w:ascii="仿宋_GB2312" w:hAnsi="仿宋_GB2312" w:eastAsia="仿宋_GB2312" w:cs="仿宋_GB2312"/>
          <w:b w:val="0"/>
          <w:bCs/>
          <w:color w:val="auto"/>
          <w:sz w:val="32"/>
          <w:szCs w:val="40"/>
          <w:highlight w:val="none"/>
          <w:lang w:val="en-US" w:eastAsia="zh-CN"/>
        </w:rPr>
        <w:t>”是坚持“立德树人”根本任务，“</w:t>
      </w:r>
      <w:r>
        <w:rPr>
          <w:rFonts w:hint="default" w:ascii="Times New Roman" w:hAnsi="Times New Roman" w:eastAsia="仿宋_GB2312" w:cs="Times New Roman"/>
          <w:b w:val="0"/>
          <w:bCs/>
          <w:color w:val="auto"/>
          <w:sz w:val="32"/>
          <w:szCs w:val="40"/>
          <w:highlight w:val="none"/>
          <w:lang w:val="en-US" w:eastAsia="zh-CN"/>
        </w:rPr>
        <w:t>5</w:t>
      </w:r>
      <w:r>
        <w:rPr>
          <w:rFonts w:hint="eastAsia" w:ascii="仿宋_GB2312" w:hAnsi="仿宋_GB2312" w:eastAsia="仿宋_GB2312" w:cs="仿宋_GB2312"/>
          <w:b w:val="0"/>
          <w:bCs/>
          <w:color w:val="auto"/>
          <w:sz w:val="32"/>
          <w:szCs w:val="40"/>
          <w:highlight w:val="none"/>
          <w:lang w:val="en-US" w:eastAsia="zh-CN"/>
        </w:rPr>
        <w:t>”是依托制度、阵地、队伍、资源、机制五大支撑提供系统性保障，通过理念引领、服务提质、协同联动推进师市“N”个社区家长学校标准化建设与高效运行全域覆盖，形成保障有力、精准发力、全域统筹的家庭教育工作总体布局，促进家庭家教家风建设高质量发展。</w:t>
      </w:r>
    </w:p>
    <w:p w14:paraId="066C422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val="0"/>
          <w:color w:val="auto"/>
          <w:sz w:val="32"/>
          <w:szCs w:val="40"/>
          <w:highlight w:val="none"/>
          <w:lang w:val="en-US" w:eastAsia="zh-CN"/>
        </w:rPr>
      </w:pPr>
      <w:r>
        <w:rPr>
          <w:rFonts w:hint="eastAsia" w:ascii="楷体_GB2312" w:hAnsi="楷体_GB2312" w:eastAsia="楷体_GB2312" w:cs="楷体_GB2312"/>
          <w:b/>
          <w:bCs w:val="0"/>
          <w:color w:val="auto"/>
          <w:sz w:val="32"/>
          <w:szCs w:val="40"/>
          <w:highlight w:val="none"/>
          <w:lang w:val="en-US" w:eastAsia="zh-CN"/>
        </w:rPr>
        <w:t>一、坚持立德树人根本任务</w:t>
      </w:r>
    </w:p>
    <w:p w14:paraId="0E7090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val="0"/>
          <w:bCs/>
          <w:color w:val="auto"/>
          <w:sz w:val="32"/>
          <w:szCs w:val="40"/>
          <w:highlight w:val="none"/>
          <w:lang w:val="en-US" w:eastAsia="zh-CN"/>
        </w:rPr>
        <w:t>以社会主义核心价值观为统领，突出思想道德培育，弘扬中华优秀传统文化、革命文化、社会主义先进文化，将铸牢中华民族共同体意识、爱国主义教育与兵团精神传承培育融于日常家庭教育。立足家庭第一所学校的定位，聚焦培养具有家国情怀的时代新人。结合兵团定位，融入劳动教育与责任教育，培养吃苦耐劳、坚毅担当的品格，让家庭成为铸牢中华民族共同体意识的重要阵地。</w:t>
      </w:r>
    </w:p>
    <w:p w14:paraId="7B01C20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val="0"/>
          <w:color w:val="auto"/>
          <w:sz w:val="32"/>
          <w:szCs w:val="40"/>
          <w:highlight w:val="none"/>
          <w:lang w:val="en-US" w:eastAsia="zh-CN"/>
        </w:rPr>
      </w:pPr>
      <w:r>
        <w:rPr>
          <w:rFonts w:hint="eastAsia" w:ascii="楷体_GB2312" w:hAnsi="楷体_GB2312" w:eastAsia="楷体_GB2312" w:cs="楷体_GB2312"/>
          <w:b/>
          <w:bCs w:val="0"/>
          <w:color w:val="auto"/>
          <w:sz w:val="32"/>
          <w:szCs w:val="40"/>
          <w:highlight w:val="none"/>
          <w:lang w:val="en-US" w:eastAsia="zh-CN"/>
        </w:rPr>
        <w:t>二、五大支撑保障</w:t>
      </w:r>
    </w:p>
    <w:p w14:paraId="2C33CEC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简体" w:cs="Times New Roman"/>
          <w:b w:val="0"/>
          <w:bCs/>
          <w:color w:val="auto"/>
          <w:sz w:val="32"/>
          <w:szCs w:val="40"/>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（一）制度体系规范完善。</w:t>
      </w:r>
      <w:r>
        <w:rPr>
          <w:rFonts w:hint="eastAsia" w:ascii="仿宋_GB2312" w:hAnsi="仿宋_GB2312" w:eastAsia="仿宋_GB2312" w:cs="仿宋_GB2312"/>
          <w:b w:val="0"/>
          <w:bCs/>
          <w:color w:val="auto"/>
          <w:sz w:val="32"/>
          <w:szCs w:val="40"/>
          <w:highlight w:val="none"/>
          <w:lang w:val="en-US" w:eastAsia="zh-CN"/>
        </w:rPr>
        <w:t>制定出台《第十三师新星市家庭教育指导服务实施办法》《第十三师新星市家庭教育指导服务中心建设实施方案》等一系列师市家庭教育配套制度，制定经费、资源、阵地、服务等标准规范。</w:t>
      </w:r>
    </w:p>
    <w:p w14:paraId="4CE2A4B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简体" w:cs="Times New Roman"/>
          <w:b w:val="0"/>
          <w:bCs/>
          <w:color w:val="auto"/>
          <w:sz w:val="32"/>
          <w:szCs w:val="40"/>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（二）服务阵地全域覆盖。</w:t>
      </w:r>
      <w:r>
        <w:rPr>
          <w:rFonts w:hint="eastAsia" w:ascii="仿宋_GB2312" w:hAnsi="仿宋_GB2312" w:eastAsia="仿宋_GB2312" w:cs="仿宋_GB2312"/>
          <w:b w:val="0"/>
          <w:bCs/>
          <w:color w:val="auto"/>
          <w:sz w:val="32"/>
          <w:szCs w:val="40"/>
          <w:highlight w:val="none"/>
          <w:lang w:val="en-US" w:eastAsia="zh-CN"/>
        </w:rPr>
        <w:t>优化三级阵地网络，建好社区家长学校，配备基础设备，打造“</w:t>
      </w:r>
      <w:r>
        <w:rPr>
          <w:rFonts w:hint="default" w:ascii="Times New Roman" w:hAnsi="Times New Roman" w:eastAsia="仿宋_GB2312" w:cs="Times New Roman"/>
          <w:b w:val="0"/>
          <w:bCs/>
          <w:color w:val="auto"/>
          <w:sz w:val="32"/>
          <w:szCs w:val="40"/>
          <w:highlight w:val="none"/>
          <w:lang w:val="en-US" w:eastAsia="zh-CN"/>
        </w:rPr>
        <w:t>15</w:t>
      </w:r>
      <w:r>
        <w:rPr>
          <w:rFonts w:hint="eastAsia" w:ascii="仿宋_GB2312" w:hAnsi="仿宋_GB2312" w:eastAsia="仿宋_GB2312" w:cs="仿宋_GB2312"/>
          <w:b w:val="0"/>
          <w:bCs/>
          <w:color w:val="auto"/>
          <w:sz w:val="32"/>
          <w:szCs w:val="40"/>
          <w:highlight w:val="none"/>
          <w:lang w:val="en-US" w:eastAsia="zh-CN"/>
        </w:rPr>
        <w:t>分钟家庭教育服务圈”，同步搭建线上数字平台，形成“线上+线下”全覆盖格局。</w:t>
      </w:r>
    </w:p>
    <w:p w14:paraId="00F66E6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（三）专业能力全面跃升。</w:t>
      </w:r>
      <w:r>
        <w:rPr>
          <w:rFonts w:hint="eastAsia" w:ascii="仿宋_GB2312" w:hAnsi="仿宋_GB2312" w:eastAsia="仿宋_GB2312" w:cs="仿宋_GB2312"/>
          <w:b w:val="0"/>
          <w:bCs/>
          <w:color w:val="auto"/>
          <w:sz w:val="32"/>
          <w:szCs w:val="40"/>
          <w:highlight w:val="none"/>
          <w:lang w:val="en-US" w:eastAsia="zh-CN"/>
        </w:rPr>
        <w:t>组建家庭教育讲师团与志愿者队伍，通过培训、带教、研修等形式培育骨干</w:t>
      </w:r>
      <w:r>
        <w:rPr>
          <w:rFonts w:hint="default" w:ascii="Times New Roman" w:hAnsi="Times New Roman" w:eastAsia="仿宋_GB2312" w:cs="Times New Roman"/>
          <w:b w:val="0"/>
          <w:bCs/>
          <w:color w:val="auto"/>
          <w:sz w:val="32"/>
          <w:szCs w:val="40"/>
          <w:highlight w:val="none"/>
          <w:lang w:val="en-US" w:eastAsia="zh-CN"/>
        </w:rPr>
        <w:t>300</w:t>
      </w:r>
      <w:r>
        <w:rPr>
          <w:rFonts w:hint="eastAsia" w:ascii="仿宋_GB2312" w:hAnsi="仿宋_GB2312" w:eastAsia="仿宋_GB2312" w:cs="仿宋_GB2312"/>
          <w:b w:val="0"/>
          <w:bCs/>
          <w:color w:val="auto"/>
          <w:sz w:val="32"/>
          <w:szCs w:val="40"/>
          <w:highlight w:val="none"/>
          <w:lang w:val="en-US" w:eastAsia="zh-CN"/>
        </w:rPr>
        <w:t>人次以上，建立志愿者积分激励机制。</w:t>
      </w:r>
    </w:p>
    <w:p w14:paraId="05E8744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（四）公共资源普惠均等。</w:t>
      </w:r>
      <w:r>
        <w:rPr>
          <w:rFonts w:hint="eastAsia" w:ascii="仿宋_GB2312" w:hAnsi="仿宋_GB2312" w:eastAsia="仿宋_GB2312" w:cs="仿宋_GB2312"/>
          <w:b w:val="0"/>
          <w:bCs/>
          <w:color w:val="auto"/>
          <w:sz w:val="32"/>
          <w:szCs w:val="40"/>
          <w:highlight w:val="none"/>
          <w:lang w:val="en-US" w:eastAsia="zh-CN"/>
        </w:rPr>
        <w:t>将家庭教育指导服务纳入城乡公共服务体系和政府购买服务目录，按程序申报各类财政资金；整合兵地公共资源，引入社会力量，形成多元资源保障模式，加强对特殊群体的专项帮扶。</w:t>
      </w:r>
    </w:p>
    <w:p w14:paraId="4F89138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（五）协同育人机制深化。</w:t>
      </w:r>
      <w:r>
        <w:rPr>
          <w:rFonts w:hint="eastAsia" w:ascii="仿宋_GB2312" w:hAnsi="仿宋_GB2312" w:eastAsia="仿宋_GB2312" w:cs="仿宋_GB2312"/>
          <w:b w:val="0"/>
          <w:bCs/>
          <w:color w:val="auto"/>
          <w:sz w:val="32"/>
          <w:szCs w:val="40"/>
          <w:highlight w:val="none"/>
          <w:lang w:val="en-US" w:eastAsia="zh-CN"/>
        </w:rPr>
        <w:t>构建“需求对接-资源整合-精准服务”闭环机制，搭建家长互助平台，形成“评估-反馈-优化”管理模式，推动协同机制常态化运行。</w:t>
      </w:r>
    </w:p>
    <w:p w14:paraId="285B98E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val="0"/>
          <w:color w:val="auto"/>
          <w:sz w:val="32"/>
          <w:szCs w:val="40"/>
          <w:highlight w:val="none"/>
          <w:lang w:val="en-US" w:eastAsia="zh-CN"/>
        </w:rPr>
      </w:pPr>
      <w:r>
        <w:rPr>
          <w:rFonts w:hint="eastAsia" w:ascii="楷体_GB2312" w:hAnsi="楷体_GB2312" w:eastAsia="楷体_GB2312" w:cs="楷体_GB2312"/>
          <w:b/>
          <w:bCs w:val="0"/>
          <w:color w:val="auto"/>
          <w:sz w:val="32"/>
          <w:szCs w:val="40"/>
          <w:highlight w:val="none"/>
          <w:lang w:val="en-US" w:eastAsia="zh-CN"/>
        </w:rPr>
        <w:t>三、N个社区家长学校标准化建设与高效运行</w:t>
      </w:r>
    </w:p>
    <w:p w14:paraId="4B418DF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val="0"/>
          <w:bCs/>
          <w:color w:val="auto"/>
          <w:sz w:val="32"/>
          <w:szCs w:val="40"/>
          <w:highlight w:val="none"/>
          <w:lang w:val="en-US" w:eastAsia="zh-CN"/>
        </w:rPr>
        <w:t>以社区为基层治理枢纽，以社区家长学校为前沿服务主阵地，推动社区家长学校实现有场地、有制度、有师资、有计划、有活动、有评估的标准化建设。阵地配齐家庭教育辅导、心理咨询等专业设施设备，常态化、精准化开展家教讲座、团体辅导、各类家庭教育活动、个案咨询等实践活动，最终成为家庭教育的主阵地与基层治理的服务站。</w:t>
      </w:r>
      <w:bookmarkStart w:id="26" w:name="_Toc14029"/>
    </w:p>
    <w:p w14:paraId="15F806D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Calibri" w:hAnsi="Calibri" w:eastAsia="方正小标宋简体" w:cs="Times New Roman"/>
          <w:color w:val="auto"/>
          <w:kern w:val="44"/>
          <w:sz w:val="36"/>
          <w:szCs w:val="36"/>
          <w:lang w:val="en-US" w:eastAsia="zh-CN" w:bidi="ar-SA"/>
        </w:rPr>
      </w:pPr>
    </w:p>
    <w:p w14:paraId="30F8AB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Calibri" w:hAnsi="Calibri" w:eastAsia="方正小标宋简体" w:cs="Times New Roman"/>
          <w:color w:val="auto"/>
          <w:kern w:val="44"/>
          <w:sz w:val="36"/>
          <w:szCs w:val="36"/>
          <w:lang w:val="en-US" w:eastAsia="zh-CN" w:bidi="ar-SA"/>
        </w:rPr>
      </w:pPr>
      <w:r>
        <w:rPr>
          <w:rFonts w:hint="default" w:ascii="Calibri" w:hAnsi="Calibri" w:eastAsia="方正小标宋简体" w:cs="Times New Roman"/>
          <w:color w:val="auto"/>
          <w:kern w:val="44"/>
          <w:sz w:val="36"/>
          <w:szCs w:val="36"/>
          <w:lang w:val="en-US" w:eastAsia="zh-CN" w:bidi="ar-SA"/>
        </w:rPr>
        <w:t>第</w:t>
      </w:r>
      <w:r>
        <w:rPr>
          <w:rFonts w:hint="eastAsia" w:eastAsia="方正小标宋简体" w:cs="Times New Roman"/>
          <w:color w:val="auto"/>
          <w:kern w:val="44"/>
          <w:sz w:val="36"/>
          <w:szCs w:val="36"/>
          <w:lang w:val="en-US" w:eastAsia="zh-CN" w:bidi="ar-SA"/>
        </w:rPr>
        <w:t>二</w:t>
      </w:r>
      <w:r>
        <w:rPr>
          <w:rFonts w:hint="default" w:ascii="Calibri" w:hAnsi="Calibri" w:eastAsia="方正小标宋简体" w:cs="Times New Roman"/>
          <w:color w:val="auto"/>
          <w:kern w:val="44"/>
          <w:sz w:val="36"/>
          <w:szCs w:val="36"/>
          <w:lang w:val="en-US" w:eastAsia="zh-CN" w:bidi="ar-SA"/>
        </w:rPr>
        <w:t>章 重点举措</w:t>
      </w:r>
      <w:bookmarkEnd w:id="0"/>
      <w:bookmarkEnd w:id="6"/>
      <w:bookmarkEnd w:id="7"/>
      <w:bookmarkEnd w:id="8"/>
      <w:bookmarkEnd w:id="26"/>
      <w:bookmarkStart w:id="27" w:name="_Toc10330"/>
    </w:p>
    <w:p w14:paraId="4D5FED0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kern w:val="2"/>
          <w:sz w:val="32"/>
          <w:szCs w:val="24"/>
          <w:lang w:val="en-US" w:eastAsia="zh-CN" w:bidi="ar-SA"/>
        </w:rPr>
      </w:pPr>
      <w:r>
        <w:rPr>
          <w:rFonts w:hint="eastAsia" w:ascii="黑体" w:hAnsi="黑体" w:eastAsia="黑体" w:cs="黑体"/>
          <w:color w:val="auto"/>
          <w:kern w:val="2"/>
          <w:sz w:val="32"/>
          <w:szCs w:val="24"/>
          <w:lang w:val="en-US" w:eastAsia="zh-CN" w:bidi="ar-SA"/>
        </w:rPr>
        <w:t>第一节 深入学习贯彻习近平总书记关于注重家庭家教家风的</w:t>
      </w:r>
      <w:bookmarkStart w:id="28" w:name="_Toc2309"/>
    </w:p>
    <w:p w14:paraId="12D5B8C0">
      <w:pPr>
        <w:pStyle w:val="4"/>
        <w:pageBreakBefore w:val="0"/>
        <w:widowControl w:val="0"/>
        <w:kinsoku/>
        <w:wordWrap/>
        <w:overflowPunct/>
        <w:topLinePunct w:val="0"/>
        <w:autoSpaceDE/>
        <w:autoSpaceDN/>
        <w:bidi w:val="0"/>
        <w:adjustRightInd/>
        <w:snapToGrid/>
        <w:textAlignment w:val="auto"/>
        <w:rPr>
          <w:rFonts w:hint="eastAsia" w:ascii="黑体" w:hAnsi="黑体" w:eastAsia="黑体" w:cs="黑体"/>
          <w:color w:val="auto"/>
          <w:lang w:val="en-US" w:eastAsia="zh-CN"/>
        </w:rPr>
      </w:pPr>
      <w:r>
        <w:rPr>
          <w:rFonts w:hint="eastAsia" w:ascii="黑体" w:hAnsi="黑体" w:eastAsia="黑体" w:cs="黑体"/>
          <w:color w:val="auto"/>
          <w:lang w:val="en-US" w:eastAsia="zh-CN"/>
        </w:rPr>
        <w:t>重要论述</w:t>
      </w:r>
      <w:bookmarkEnd w:id="27"/>
      <w:bookmarkEnd w:id="28"/>
    </w:p>
    <w:p w14:paraId="3099C1B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构建宣传矩阵，让家庭教育理念可触可感。</w:t>
      </w:r>
      <w:r>
        <w:rPr>
          <w:rFonts w:hint="eastAsia" w:ascii="仿宋_GB2312" w:hAnsi="仿宋_GB2312" w:eastAsia="仿宋_GB2312" w:cs="仿宋_GB2312"/>
          <w:b w:val="0"/>
          <w:bCs/>
          <w:color w:val="auto"/>
          <w:sz w:val="32"/>
          <w:szCs w:val="40"/>
          <w:highlight w:val="none"/>
          <w:lang w:val="en-US" w:eastAsia="zh-CN"/>
        </w:rPr>
        <w:t>整合师市融媒体资源、妇联新媒体、团场社区宣传栏等阵地，用好连社广播、联动上级平台，构建横纵贯通的全域宣传网络。编制典型案例、传统家规家训等的通俗学习读本；依托师市博物馆、文化馆等建设家风家教示范基地，结合红色家风事迹开展现场教学。党员干部带头学习《习近平关于注重家庭家教家风建设论述摘编》，带动群众对家庭家教家风建设重要性的认识。</w:t>
      </w:r>
    </w:p>
    <w:p w14:paraId="08BE9AD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营造良好社会氛围，让家教家风共识走深走实。</w:t>
      </w:r>
      <w:r>
        <w:rPr>
          <w:rFonts w:hint="eastAsia" w:ascii="仿宋_GB2312" w:hAnsi="仿宋_GB2312" w:eastAsia="仿宋_GB2312" w:cs="仿宋_GB2312"/>
          <w:b w:val="0"/>
          <w:bCs/>
          <w:color w:val="auto"/>
          <w:sz w:val="32"/>
          <w:szCs w:val="40"/>
          <w:highlight w:val="none"/>
          <w:lang w:val="en-US" w:eastAsia="zh-CN"/>
        </w:rPr>
        <w:t>常态化开展“木兰・百场家庭教育进万家”、亲子阅读公益课堂、青少年心理健康课堂等品牌活动，开设一对一家庭教育咨询辅导服务，覆盖主题讲座、基础咨询、个案指导等多元场景。精心策划主题沙龙、寒暑假儿童关爱活动、红色经典诵读、“小手拉大手” 国家通用语言文字推广等特色活动，结合春节、“六一”、重阳节、全国家庭教育宣传周、全民阅读活动周等节日节点及非遗传承需求，打造兼具教育性与体验感的家风建设活动。深入开展师市“最美家庭”代表与重庆市“最美家庭”代表交往交流交融活动。</w:t>
      </w:r>
    </w:p>
    <w:tbl>
      <w:tblPr>
        <w:tblStyle w:val="15"/>
        <w:tblW w:w="5000"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8"/>
      </w:tblGrid>
      <w:tr w14:paraId="1152D4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jc w:val="center"/>
        </w:trPr>
        <w:tc>
          <w:tcPr>
            <w:tcW w:w="5000" w:type="pct"/>
            <w:tcBorders>
              <w:top w:val="single" w:color="auto" w:sz="4" w:space="0"/>
              <w:left w:val="single" w:color="auto" w:sz="4" w:space="0"/>
              <w:bottom w:val="single" w:color="auto" w:sz="4" w:space="0"/>
              <w:right w:val="single" w:color="auto" w:sz="4" w:space="0"/>
            </w:tcBorders>
            <w:vAlign w:val="top"/>
          </w:tcPr>
          <w:p w14:paraId="1AEDF0E6">
            <w:pPr>
              <w:keepNext w:val="0"/>
              <w:keepLines w:val="0"/>
              <w:pageBreakBefore w:val="0"/>
              <w:widowControl w:val="0"/>
              <w:numPr>
                <w:ilvl w:val="0"/>
                <w:numId w:val="0"/>
              </w:numPr>
              <w:kinsoku/>
              <w:wordWrap/>
              <w:overflowPunct/>
              <w:topLinePunct w:val="0"/>
              <w:autoSpaceDE w:val="0"/>
              <w:autoSpaceDN/>
              <w:bidi w:val="0"/>
              <w:adjustRightInd/>
              <w:snapToGrid/>
              <w:spacing w:line="440" w:lineRule="exact"/>
              <w:jc w:val="center"/>
              <w:textAlignment w:val="auto"/>
              <w:rPr>
                <w:rFonts w:hint="default" w:ascii="Times New Roman" w:hAnsi="Times New Roman" w:eastAsia="仿宋" w:cs="Times New Roman"/>
                <w:b w:val="0"/>
                <w:bCs/>
                <w:color w:val="auto"/>
                <w:kern w:val="0"/>
                <w:sz w:val="24"/>
                <w:szCs w:val="24"/>
                <w:highlight w:val="none"/>
                <w:lang w:val="en-US" w:eastAsia="zh-CN"/>
              </w:rPr>
            </w:pPr>
            <w:r>
              <w:rPr>
                <w:rFonts w:hint="eastAsia" w:ascii="仿宋_GB2312" w:hAnsi="仿宋_GB2312" w:eastAsia="仿宋_GB2312" w:cs="仿宋_GB2312"/>
                <w:b w:val="0"/>
                <w:bCs/>
                <w:color w:val="auto"/>
                <w:sz w:val="24"/>
                <w:szCs w:val="24"/>
                <w:highlight w:val="none"/>
              </w:rPr>
              <w:t>专栏</w:t>
            </w:r>
            <w:r>
              <w:rPr>
                <w:rFonts w:hint="default" w:ascii="Times New Roman" w:hAnsi="Times New Roman" w:eastAsia="仿宋_GB2312" w:cs="Times New Roman"/>
                <w:b w:val="0"/>
                <w:bCs/>
                <w:color w:val="auto"/>
                <w:sz w:val="24"/>
                <w:szCs w:val="24"/>
                <w:highlight w:val="none"/>
                <w:lang w:val="en-US" w:eastAsia="zh-CN"/>
              </w:rPr>
              <w:t>1</w:t>
            </w:r>
            <w:r>
              <w:rPr>
                <w:rFonts w:hint="eastAsia" w:ascii="仿宋_GB2312" w:hAnsi="仿宋_GB2312" w:eastAsia="仿宋_GB2312" w:cs="仿宋_GB2312"/>
                <w:b w:val="0"/>
                <w:bCs/>
                <w:color w:val="auto"/>
                <w:sz w:val="24"/>
                <w:szCs w:val="24"/>
                <w:highlight w:val="none"/>
              </w:rPr>
              <w:t>——</w:t>
            </w:r>
            <w:r>
              <w:rPr>
                <w:rFonts w:hint="eastAsia" w:ascii="仿宋_GB2312" w:hAnsi="仿宋_GB2312" w:eastAsia="仿宋_GB2312" w:cs="仿宋_GB2312"/>
                <w:b w:val="0"/>
                <w:bCs/>
                <w:color w:val="auto"/>
                <w:sz w:val="24"/>
                <w:szCs w:val="24"/>
                <w:highlight w:val="none"/>
                <w:lang w:val="en-US" w:eastAsia="zh-CN"/>
              </w:rPr>
              <w:t>木兰·巾帼援疆行</w:t>
            </w:r>
          </w:p>
        </w:tc>
      </w:tr>
      <w:tr w14:paraId="3A8B9D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5" w:hRule="atLeast"/>
          <w:jc w:val="center"/>
        </w:trPr>
        <w:tc>
          <w:tcPr>
            <w:tcW w:w="5000" w:type="pct"/>
            <w:tcBorders>
              <w:top w:val="single" w:color="auto" w:sz="4" w:space="0"/>
              <w:left w:val="single" w:color="auto" w:sz="4" w:space="0"/>
              <w:right w:val="single" w:color="auto" w:sz="4" w:space="0"/>
            </w:tcBorders>
            <w:vAlign w:val="top"/>
          </w:tcPr>
          <w:p w14:paraId="62500098">
            <w:pPr>
              <w:keepNext w:val="0"/>
              <w:keepLines w:val="0"/>
              <w:pageBreakBefore w:val="0"/>
              <w:widowControl w:val="0"/>
              <w:numPr>
                <w:ilvl w:val="0"/>
                <w:numId w:val="0"/>
              </w:numPr>
              <w:kinsoku/>
              <w:wordWrap/>
              <w:overflowPunct/>
              <w:topLinePunct w:val="0"/>
              <w:autoSpaceDE w:val="0"/>
              <w:autoSpaceDN/>
              <w:bidi w:val="0"/>
              <w:adjustRightInd/>
              <w:snapToGrid/>
              <w:spacing w:line="440" w:lineRule="exact"/>
              <w:ind w:firstLine="480" w:firstLineChars="200"/>
              <w:jc w:val="both"/>
              <w:textAlignment w:val="auto"/>
              <w:rPr>
                <w:rFonts w:hint="eastAsia" w:ascii="仿宋_GB2312" w:hAnsi="仿宋_GB2312" w:eastAsia="仿宋_GB2312" w:cs="仿宋_GB2312"/>
                <w:b w:val="0"/>
                <w:bCs/>
                <w:color w:val="auto"/>
                <w:kern w:val="0"/>
                <w:sz w:val="24"/>
                <w:szCs w:val="24"/>
                <w:highlight w:val="none"/>
                <w:lang w:val="en-US" w:eastAsia="zh-CN"/>
              </w:rPr>
            </w:pPr>
            <w:r>
              <w:rPr>
                <w:rFonts w:hint="eastAsia" w:ascii="Times New Roman" w:hAnsi="Times New Roman" w:eastAsia="仿宋_GB2312" w:cs="Times New Roman"/>
                <w:b w:val="0"/>
                <w:bCs/>
                <w:color w:val="auto"/>
                <w:sz w:val="24"/>
                <w:szCs w:val="24"/>
                <w:highlight w:val="none"/>
                <w:lang w:val="en-US" w:eastAsia="zh-CN"/>
              </w:rPr>
              <w:t>1.</w:t>
            </w:r>
            <w:r>
              <w:rPr>
                <w:rFonts w:hint="eastAsia" w:ascii="仿宋_GB2312" w:hAnsi="仿宋_GB2312" w:eastAsia="仿宋_GB2312" w:cs="仿宋_GB2312"/>
                <w:b w:val="0"/>
                <w:bCs/>
                <w:color w:val="auto"/>
                <w:kern w:val="0"/>
                <w:sz w:val="24"/>
                <w:szCs w:val="24"/>
                <w:highlight w:val="none"/>
                <w:lang w:val="en-US" w:eastAsia="zh-CN"/>
              </w:rPr>
              <w:t>紧扣铸牢中华民族共同体意识主线，以重庆市作为目的地，计划每年组织</w:t>
            </w:r>
            <w:r>
              <w:rPr>
                <w:rFonts w:hint="default" w:ascii="Times New Roman" w:hAnsi="Times New Roman" w:eastAsia="仿宋_GB2312" w:cs="Times New Roman"/>
                <w:b w:val="0"/>
                <w:bCs/>
                <w:color w:val="auto"/>
                <w:kern w:val="0"/>
                <w:sz w:val="24"/>
                <w:szCs w:val="24"/>
                <w:highlight w:val="none"/>
                <w:lang w:val="en-US" w:eastAsia="zh-CN"/>
              </w:rPr>
              <w:t>12</w:t>
            </w:r>
            <w:r>
              <w:rPr>
                <w:rFonts w:hint="eastAsia" w:ascii="仿宋_GB2312" w:hAnsi="仿宋_GB2312" w:eastAsia="仿宋_GB2312" w:cs="仿宋_GB2312"/>
                <w:b w:val="0"/>
                <w:bCs/>
                <w:color w:val="auto"/>
                <w:kern w:val="0"/>
                <w:sz w:val="24"/>
                <w:szCs w:val="24"/>
                <w:highlight w:val="none"/>
                <w:lang w:val="en-US" w:eastAsia="zh-CN"/>
              </w:rPr>
              <w:t>户（</w:t>
            </w:r>
            <w:r>
              <w:rPr>
                <w:rFonts w:hint="default" w:ascii="Times New Roman" w:hAnsi="Times New Roman" w:eastAsia="仿宋_GB2312" w:cs="Times New Roman"/>
                <w:b w:val="0"/>
                <w:bCs/>
                <w:color w:val="auto"/>
                <w:kern w:val="0"/>
                <w:sz w:val="24"/>
                <w:szCs w:val="24"/>
                <w:highlight w:val="none"/>
                <w:lang w:val="en-US" w:eastAsia="zh-CN"/>
              </w:rPr>
              <w:t>40</w:t>
            </w:r>
            <w:r>
              <w:rPr>
                <w:rFonts w:hint="eastAsia" w:ascii="仿宋_GB2312" w:hAnsi="仿宋_GB2312" w:eastAsia="仿宋_GB2312" w:cs="仿宋_GB2312"/>
                <w:b w:val="0"/>
                <w:bCs/>
                <w:color w:val="auto"/>
                <w:kern w:val="0"/>
                <w:sz w:val="24"/>
                <w:szCs w:val="24"/>
                <w:highlight w:val="none"/>
                <w:lang w:val="en-US" w:eastAsia="zh-CN"/>
              </w:rPr>
              <w:t>人）各民族家庭代表赴重庆市开展交往交流交融活动；</w:t>
            </w:r>
          </w:p>
          <w:p w14:paraId="082CDFC9">
            <w:pPr>
              <w:keepNext w:val="0"/>
              <w:keepLines w:val="0"/>
              <w:pageBreakBefore w:val="0"/>
              <w:widowControl w:val="0"/>
              <w:numPr>
                <w:ilvl w:val="0"/>
                <w:numId w:val="0"/>
              </w:numPr>
              <w:kinsoku/>
              <w:wordWrap/>
              <w:overflowPunct/>
              <w:topLinePunct w:val="0"/>
              <w:autoSpaceDE w:val="0"/>
              <w:autoSpaceDN/>
              <w:bidi w:val="0"/>
              <w:adjustRightInd/>
              <w:snapToGrid/>
              <w:spacing w:line="440" w:lineRule="exact"/>
              <w:ind w:firstLine="480" w:firstLineChars="200"/>
              <w:jc w:val="both"/>
              <w:textAlignment w:val="auto"/>
              <w:rPr>
                <w:rFonts w:hint="eastAsia" w:ascii="仿宋_GB2312" w:hAnsi="仿宋_GB2312" w:eastAsia="仿宋_GB2312" w:cs="仿宋_GB2312"/>
                <w:b w:val="0"/>
                <w:bCs/>
                <w:color w:val="auto"/>
                <w:kern w:val="0"/>
                <w:sz w:val="24"/>
                <w:szCs w:val="24"/>
                <w:highlight w:val="none"/>
                <w:lang w:val="en-US" w:eastAsia="zh-CN"/>
              </w:rPr>
            </w:pPr>
            <w:r>
              <w:rPr>
                <w:rFonts w:hint="eastAsia" w:ascii="Times New Roman" w:hAnsi="Times New Roman" w:eastAsia="仿宋_GB2312" w:cs="Times New Roman"/>
                <w:b w:val="0"/>
                <w:bCs/>
                <w:color w:val="auto"/>
                <w:sz w:val="24"/>
                <w:szCs w:val="24"/>
                <w:highlight w:val="none"/>
                <w:lang w:val="en-US" w:eastAsia="zh-CN"/>
              </w:rPr>
              <w:t>2.</w:t>
            </w:r>
            <w:r>
              <w:rPr>
                <w:rFonts w:hint="eastAsia" w:ascii="仿宋_GB2312" w:hAnsi="仿宋_GB2312" w:eastAsia="仿宋_GB2312" w:cs="仿宋_GB2312"/>
                <w:b w:val="0"/>
                <w:bCs/>
                <w:color w:val="auto"/>
                <w:kern w:val="0"/>
                <w:sz w:val="24"/>
                <w:szCs w:val="24"/>
                <w:highlight w:val="none"/>
                <w:lang w:val="en-US" w:eastAsia="zh-CN"/>
              </w:rPr>
              <w:t>由重庆市妇联确定</w:t>
            </w:r>
            <w:r>
              <w:rPr>
                <w:rFonts w:hint="eastAsia" w:ascii="Times New Roman" w:hAnsi="Times New Roman" w:eastAsia="仿宋_GB2312" w:cs="Times New Roman"/>
                <w:b w:val="0"/>
                <w:bCs/>
                <w:color w:val="auto"/>
                <w:sz w:val="24"/>
                <w:szCs w:val="24"/>
                <w:highlight w:val="none"/>
                <w:lang w:val="en-US" w:eastAsia="zh-CN"/>
              </w:rPr>
              <w:t>1</w:t>
            </w:r>
            <w:r>
              <w:rPr>
                <w:rFonts w:hint="eastAsia" w:ascii="仿宋_GB2312" w:hAnsi="仿宋_GB2312" w:eastAsia="仿宋_GB2312" w:cs="仿宋_GB2312"/>
                <w:b w:val="0"/>
                <w:bCs/>
                <w:color w:val="auto"/>
                <w:kern w:val="0"/>
                <w:sz w:val="24"/>
                <w:szCs w:val="24"/>
                <w:highlight w:val="none"/>
                <w:lang w:val="en-US" w:eastAsia="zh-CN"/>
              </w:rPr>
              <w:t>个区妇联，组织开展结对交流联谊活动，增进与重庆市家庭间的情感联系，促进各民族文化交流，铸牢中华民族共同体意识；</w:t>
            </w:r>
          </w:p>
          <w:p w14:paraId="67D683D6">
            <w:pPr>
              <w:keepNext w:val="0"/>
              <w:keepLines w:val="0"/>
              <w:pageBreakBefore w:val="0"/>
              <w:widowControl w:val="0"/>
              <w:numPr>
                <w:ilvl w:val="0"/>
                <w:numId w:val="0"/>
              </w:numPr>
              <w:kinsoku/>
              <w:wordWrap/>
              <w:overflowPunct/>
              <w:topLinePunct w:val="0"/>
              <w:autoSpaceDE w:val="0"/>
              <w:autoSpaceDN/>
              <w:bidi w:val="0"/>
              <w:adjustRightInd/>
              <w:snapToGrid/>
              <w:spacing w:line="440" w:lineRule="exact"/>
              <w:ind w:firstLine="480" w:firstLineChars="200"/>
              <w:jc w:val="both"/>
              <w:textAlignment w:val="auto"/>
              <w:rPr>
                <w:rFonts w:hint="default" w:ascii="Times New Roman" w:hAnsi="Times New Roman" w:eastAsia="仿宋" w:cs="Times New Roman"/>
                <w:b w:val="0"/>
                <w:bCs/>
                <w:color w:val="auto"/>
                <w:kern w:val="0"/>
                <w:sz w:val="24"/>
                <w:szCs w:val="24"/>
                <w:highlight w:val="none"/>
                <w:lang w:val="en-US" w:eastAsia="zh-CN"/>
              </w:rPr>
            </w:pPr>
            <w:r>
              <w:rPr>
                <w:rFonts w:hint="eastAsia" w:ascii="Times New Roman" w:hAnsi="Times New Roman" w:eastAsia="仿宋_GB2312" w:cs="Times New Roman"/>
                <w:b w:val="0"/>
                <w:bCs/>
                <w:color w:val="auto"/>
                <w:sz w:val="24"/>
                <w:szCs w:val="24"/>
                <w:highlight w:val="none"/>
                <w:lang w:val="en-US" w:eastAsia="zh-CN"/>
              </w:rPr>
              <w:t>3.</w:t>
            </w:r>
            <w:r>
              <w:rPr>
                <w:rFonts w:hint="eastAsia" w:ascii="仿宋_GB2312" w:hAnsi="仿宋_GB2312" w:eastAsia="仿宋_GB2312" w:cs="仿宋_GB2312"/>
                <w:b w:val="0"/>
                <w:bCs/>
                <w:color w:val="auto"/>
                <w:kern w:val="0"/>
                <w:sz w:val="24"/>
                <w:szCs w:val="24"/>
                <w:highlight w:val="none"/>
                <w:lang w:val="en-US" w:eastAsia="zh-CN"/>
              </w:rPr>
              <w:t>组织家庭代表以现场教学、体验式教学、交流研讨等多种形式，开展多民族交往交流交融活动。</w:t>
            </w:r>
          </w:p>
        </w:tc>
      </w:tr>
    </w:tbl>
    <w:p w14:paraId="79EF3CB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color w:val="auto"/>
          <w:kern w:val="2"/>
          <w:sz w:val="32"/>
          <w:szCs w:val="40"/>
          <w:highlight w:val="none"/>
          <w:lang w:val="en-US" w:eastAsia="zh-CN" w:bidi="ar-SA"/>
        </w:rPr>
      </w:pPr>
      <w:r>
        <w:rPr>
          <w:rFonts w:hint="eastAsia" w:ascii="仿宋_GB2312" w:hAnsi="仿宋_GB2312" w:eastAsia="仿宋_GB2312" w:cs="仿宋_GB2312"/>
          <w:b/>
          <w:bCs w:val="0"/>
          <w:color w:val="auto"/>
          <w:sz w:val="32"/>
          <w:szCs w:val="40"/>
          <w:highlight w:val="none"/>
          <w:lang w:val="en-US" w:eastAsia="zh-CN"/>
        </w:rPr>
        <w:t>优化良好家庭环境，压实家长主体责任</w:t>
      </w:r>
      <w:bookmarkEnd w:id="1"/>
      <w:bookmarkStart w:id="29" w:name="_Toc523140148"/>
      <w:bookmarkStart w:id="30" w:name="_Toc1183140063"/>
      <w:bookmarkStart w:id="31" w:name="_Toc144895621"/>
      <w:bookmarkStart w:id="32" w:name="_Toc24982"/>
      <w:r>
        <w:rPr>
          <w:rFonts w:hint="eastAsia" w:ascii="仿宋_GB2312" w:hAnsi="仿宋_GB2312" w:eastAsia="仿宋_GB2312" w:cs="仿宋_GB2312"/>
          <w:b/>
          <w:bCs w:val="0"/>
          <w:color w:val="auto"/>
          <w:sz w:val="32"/>
          <w:szCs w:val="40"/>
          <w:highlight w:val="none"/>
          <w:lang w:val="en-US" w:eastAsia="zh-CN"/>
        </w:rPr>
        <w:t>。</w:t>
      </w:r>
      <w:r>
        <w:rPr>
          <w:rFonts w:hint="eastAsia" w:ascii="仿宋_GB2312" w:hAnsi="仿宋_GB2312" w:eastAsia="仿宋_GB2312" w:cs="仿宋_GB2312"/>
          <w:b w:val="0"/>
          <w:bCs/>
          <w:color w:val="auto"/>
          <w:kern w:val="2"/>
          <w:sz w:val="32"/>
          <w:szCs w:val="40"/>
          <w:highlight w:val="none"/>
          <w:lang w:val="en-US" w:eastAsia="zh-CN" w:bidi="ar-SA"/>
        </w:rPr>
        <w:t>深化典型示范引领，开展“最美家庭”“美丽庭院”选树推荐工作，通过访谈、纪录片、事迹巡讲等形式，组织优秀家庭走进基层一线，以身边事教育身边人，让优良家风可感可学。厚植家风文化底蕴，扩大参与范围，挖掘师市军垦文化与家风建设的结合点，通过多元形式拓宽传播渠道，推动中华优秀传统文化传承发展。强化家长责任意识，向家长普及科学育儿、品德教育知识，打破“家庭教育是私事”的认知，推动形成新型婚育文化和生育友好环境，构建全社会共同参与的育人氛围，为铸牢中华民族共同体意识筑牢思想根基。</w:t>
      </w:r>
    </w:p>
    <w:p w14:paraId="5C1942A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color w:val="auto"/>
          <w:kern w:val="2"/>
          <w:sz w:val="32"/>
          <w:szCs w:val="40"/>
          <w:highlight w:val="none"/>
          <w:lang w:val="en-US" w:eastAsia="zh-CN" w:bidi="ar-SA"/>
        </w:rPr>
      </w:pPr>
      <w:r>
        <w:rPr>
          <w:rFonts w:hint="eastAsia" w:ascii="仿宋_GB2312" w:hAnsi="仿宋_GB2312" w:eastAsia="仿宋_GB2312" w:cs="仿宋_GB2312"/>
          <w:b/>
          <w:bCs w:val="0"/>
          <w:color w:val="auto"/>
          <w:sz w:val="32"/>
          <w:szCs w:val="40"/>
          <w:highlight w:val="none"/>
          <w:lang w:val="en-US" w:eastAsia="zh-CN"/>
        </w:rPr>
        <w:t>丰富内容供给，赋能家庭教育提质增效。</w:t>
      </w:r>
      <w:r>
        <w:rPr>
          <w:rFonts w:hint="eastAsia" w:ascii="仿宋_GB2312" w:hAnsi="仿宋_GB2312" w:eastAsia="仿宋_GB2312" w:cs="仿宋_GB2312"/>
          <w:b w:val="0"/>
          <w:bCs/>
          <w:color w:val="auto"/>
          <w:kern w:val="2"/>
          <w:sz w:val="32"/>
          <w:szCs w:val="40"/>
          <w:highlight w:val="none"/>
          <w:lang w:val="en-US" w:eastAsia="zh-CN" w:bidi="ar-SA"/>
        </w:rPr>
        <w:t>将军垦家风、红色教育融入家庭教育专项内容，推动兵团精神在家风传承与家庭教育中落地生根，厚植家庭教育红色育人底蕴。聚焦不同年龄段未成年人成长发展需求，强化心理健康、青春期教育、网络素养、劳动教育等普及，破解家庭教育共性难题，提升家庭成员综合素养与科学育人能力。针对隔代教养、多子女养育、心理健康、特殊需要学生等家庭教育热点难点问题，补充隔代教育、多子女家庭教育等场景化实操指导内容。将家庭教育积极融入社会心理服务体系和危机干预机制。</w:t>
      </w:r>
    </w:p>
    <w:p w14:paraId="4E9CA6C5">
      <w:pPr>
        <w:pStyle w:val="4"/>
        <w:bidi w:val="0"/>
        <w:rPr>
          <w:rFonts w:hint="eastAsia" w:ascii="黑体" w:hAnsi="黑体" w:eastAsia="黑体" w:cs="黑体"/>
          <w:color w:val="auto"/>
          <w:lang w:val="en-US" w:eastAsia="zh-CN"/>
        </w:rPr>
      </w:pPr>
      <w:bookmarkStart w:id="33" w:name="_Toc1499"/>
      <w:r>
        <w:rPr>
          <w:rFonts w:hint="eastAsia" w:ascii="黑体" w:hAnsi="黑体" w:eastAsia="黑体" w:cs="黑体"/>
          <w:color w:val="auto"/>
          <w:lang w:val="en-US" w:eastAsia="zh-CN"/>
        </w:rPr>
        <w:t>第二节 构建规范化的家庭教育指导服务机构</w:t>
      </w:r>
    </w:p>
    <w:p w14:paraId="2B69845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val="0"/>
          <w:color w:val="auto"/>
          <w:sz w:val="32"/>
          <w:szCs w:val="40"/>
          <w:highlight w:val="none"/>
          <w:lang w:val="en-US" w:eastAsia="zh-CN"/>
        </w:rPr>
      </w:pPr>
      <w:r>
        <w:rPr>
          <w:rFonts w:hint="eastAsia" w:ascii="楷体_GB2312" w:hAnsi="楷体_GB2312" w:eastAsia="楷体_GB2312" w:cs="楷体_GB2312"/>
          <w:b/>
          <w:bCs w:val="0"/>
          <w:color w:val="auto"/>
          <w:sz w:val="32"/>
          <w:szCs w:val="40"/>
          <w:highlight w:val="none"/>
          <w:lang w:val="en-US" w:eastAsia="zh-CN"/>
        </w:rPr>
        <w:t>一、建设家庭教育指导服务中心</w:t>
      </w:r>
    </w:p>
    <w:p w14:paraId="4F40BB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color w:val="auto"/>
          <w:kern w:val="2"/>
          <w:sz w:val="32"/>
          <w:szCs w:val="40"/>
          <w:highlight w:val="none"/>
          <w:lang w:val="en-US" w:eastAsia="zh-CN" w:bidi="ar-SA"/>
        </w:rPr>
      </w:pPr>
      <w:r>
        <w:rPr>
          <w:rFonts w:hint="eastAsia" w:ascii="仿宋_GB2312" w:hAnsi="仿宋_GB2312" w:eastAsia="仿宋_GB2312" w:cs="仿宋_GB2312"/>
          <w:b w:val="0"/>
          <w:bCs/>
          <w:color w:val="auto"/>
          <w:kern w:val="2"/>
          <w:sz w:val="32"/>
          <w:szCs w:val="40"/>
          <w:highlight w:val="none"/>
          <w:lang w:val="en-US" w:eastAsia="zh-CN" w:bidi="ar-SA"/>
        </w:rPr>
        <w:t>家庭教育指导服务中心作为家庭教育指导服务工作阵地，牵头研制服务标准、机构建设规范与评估指标体系，制定年度师市家庭教育工作计划，统筹推进各项工作落地，统筹协调师市家庭教育工作资源与力量，搭建资源共享平台，为基层服务站点提供支撑，研发特色服务项目、创新服务模式，管理运行师市智慧家教平台，推动家庭教育指导服务提质升级。</w:t>
      </w:r>
    </w:p>
    <w:p w14:paraId="44250DF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kern w:val="2"/>
          <w:sz w:val="32"/>
          <w:szCs w:val="40"/>
          <w:highlight w:val="none"/>
          <w:lang w:val="en-US" w:eastAsia="zh-CN" w:bidi="ar-SA"/>
        </w:rPr>
      </w:pPr>
      <w:r>
        <w:rPr>
          <w:rFonts w:hint="default" w:ascii="Times New Roman" w:hAnsi="Times New Roman" w:eastAsia="方正仿宋简体" w:cs="Times New Roman"/>
          <w:b/>
          <w:bCs w:val="0"/>
          <w:color w:val="auto"/>
          <w:kern w:val="2"/>
          <w:sz w:val="32"/>
          <w:szCs w:val="40"/>
          <w:highlight w:val="none"/>
          <w:lang w:val="en-US" w:eastAsia="zh-CN" w:bidi="ar-SA"/>
        </w:rPr>
        <w:t>五维建设强阵地，打造高效服务枢纽。</w:t>
      </w:r>
      <w:r>
        <w:rPr>
          <w:rFonts w:hint="eastAsia" w:ascii="仿宋_GB2312" w:hAnsi="仿宋_GB2312" w:eastAsia="仿宋_GB2312" w:cs="仿宋_GB2312"/>
          <w:b w:val="0"/>
          <w:bCs/>
          <w:color w:val="auto"/>
          <w:kern w:val="2"/>
          <w:sz w:val="32"/>
          <w:szCs w:val="40"/>
          <w:highlight w:val="none"/>
          <w:lang w:val="en-US" w:eastAsia="zh-CN" w:bidi="ar-SA"/>
        </w:rPr>
        <w:t>不另起炉灶单另建设，统筹使用现有资源，发挥固定资产最大效益，打造多功能实体服务空间；人才梯队化建设，整合高校学者、行业专家、一线名师、优秀社工及家长代表力量，组建专业化、跨领域的指导团队；运行制度化建设，制定涵盖服务流程、人员管理、安全应急、档案信息、购买服务等环节的配套制度体系；服务精准化建设，构建覆盖家庭全生命周期、满足多元需求的“普惠+精准”服务矩阵，打造全链条指导服务模式；搭建开放式协同支持平台，主动链接教育、民政、卫健、司法等部门及高校、企业、场馆等社会资源，建立资源共享清单与对接机制。内部设立社会组织孵化基地，提供培育支持；外部规范政府购买服务流程，加强项目监管与第三方评估，积极引导优质社会力量参与等方面。</w:t>
      </w:r>
    </w:p>
    <w:tbl>
      <w:tblPr>
        <w:tblStyle w:val="15"/>
        <w:tblW w:w="5000"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8"/>
      </w:tblGrid>
      <w:tr w14:paraId="304B04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90" w:hRule="atLeast"/>
          <w:jc w:val="center"/>
        </w:trPr>
        <w:tc>
          <w:tcPr>
            <w:tcW w:w="5000" w:type="pct"/>
            <w:tcBorders>
              <w:left w:val="single" w:color="auto" w:sz="4" w:space="0"/>
              <w:bottom w:val="single" w:color="auto" w:sz="4" w:space="0"/>
              <w:right w:val="single" w:color="auto" w:sz="4" w:space="0"/>
            </w:tcBorders>
            <w:vAlign w:val="top"/>
          </w:tcPr>
          <w:p w14:paraId="483E5B4C">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hint="default" w:ascii="Times New Roman" w:hAnsi="Times New Roman" w:eastAsia="仿宋" w:cs="Times New Roman"/>
                <w:b w:val="0"/>
                <w:bCs/>
                <w:color w:val="auto"/>
                <w:sz w:val="24"/>
                <w:szCs w:val="24"/>
                <w:highlight w:val="none"/>
                <w:lang w:val="en-US" w:eastAsia="zh-CN"/>
              </w:rPr>
            </w:pPr>
            <w:r>
              <w:rPr>
                <w:rFonts w:hint="eastAsia" w:ascii="仿宋_GB2312" w:hAnsi="仿宋_GB2312" w:eastAsia="仿宋_GB2312" w:cs="仿宋_GB2312"/>
                <w:b w:val="0"/>
                <w:bCs/>
                <w:color w:val="auto"/>
                <w:sz w:val="24"/>
                <w:szCs w:val="24"/>
                <w:highlight w:val="none"/>
              </w:rPr>
              <w:t>专栏</w:t>
            </w:r>
            <w:r>
              <w:rPr>
                <w:rFonts w:hint="default" w:ascii="Times New Roman" w:hAnsi="Times New Roman" w:eastAsia="仿宋_GB2312" w:cs="Times New Roman"/>
                <w:b w:val="0"/>
                <w:bCs/>
                <w:color w:val="auto"/>
                <w:sz w:val="24"/>
                <w:szCs w:val="24"/>
                <w:highlight w:val="none"/>
                <w:lang w:val="en-US" w:eastAsia="zh-CN"/>
              </w:rPr>
              <w:t>2</w:t>
            </w:r>
            <w:r>
              <w:rPr>
                <w:rFonts w:hint="eastAsia" w:ascii="仿宋_GB2312" w:hAnsi="仿宋_GB2312" w:eastAsia="仿宋_GB2312" w:cs="仿宋_GB2312"/>
                <w:b w:val="0"/>
                <w:bCs/>
                <w:color w:val="auto"/>
                <w:sz w:val="24"/>
                <w:szCs w:val="24"/>
                <w:highlight w:val="none"/>
              </w:rPr>
              <w:t>——</w:t>
            </w:r>
            <w:r>
              <w:rPr>
                <w:rFonts w:hint="eastAsia" w:ascii="仿宋_GB2312" w:hAnsi="仿宋_GB2312" w:eastAsia="仿宋_GB2312" w:cs="仿宋_GB2312"/>
                <w:b w:val="0"/>
                <w:bCs/>
                <w:color w:val="auto"/>
                <w:sz w:val="24"/>
                <w:szCs w:val="24"/>
                <w:highlight w:val="none"/>
                <w:lang w:val="en-US" w:eastAsia="zh-CN"/>
              </w:rPr>
              <w:t>家庭教育指导服务中心建设项目</w:t>
            </w:r>
          </w:p>
        </w:tc>
      </w:tr>
      <w:tr w14:paraId="6C85B1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7" w:hRule="atLeast"/>
          <w:jc w:val="center"/>
        </w:trPr>
        <w:tc>
          <w:tcPr>
            <w:tcW w:w="5000" w:type="pct"/>
            <w:tcBorders>
              <w:top w:val="single" w:color="auto" w:sz="4" w:space="0"/>
              <w:left w:val="single" w:color="auto" w:sz="4" w:space="0"/>
              <w:bottom w:val="single" w:color="auto" w:sz="4" w:space="0"/>
              <w:right w:val="single" w:color="auto" w:sz="4" w:space="0"/>
            </w:tcBorders>
            <w:vAlign w:val="top"/>
          </w:tcPr>
          <w:p w14:paraId="22E7BB3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仿宋_GB2312" w:hAnsi="仿宋_GB2312" w:eastAsia="仿宋_GB2312" w:cs="仿宋_GB2312"/>
                <w:b w:val="0"/>
                <w:bCs/>
                <w:color w:val="auto"/>
                <w:sz w:val="24"/>
                <w:szCs w:val="24"/>
                <w:highlight w:val="none"/>
                <w:lang w:val="en-US" w:eastAsia="zh-CN"/>
              </w:rPr>
            </w:pPr>
            <w:r>
              <w:rPr>
                <w:rFonts w:hint="eastAsia" w:ascii="Times New Roman" w:hAnsi="Times New Roman" w:eastAsia="仿宋_GB2312" w:cs="Times New Roman"/>
                <w:b w:val="0"/>
                <w:bCs/>
                <w:color w:val="auto"/>
                <w:sz w:val="24"/>
                <w:szCs w:val="24"/>
                <w:highlight w:val="none"/>
                <w:lang w:val="en-US" w:eastAsia="zh-CN"/>
              </w:rPr>
              <w:t>1.</w:t>
            </w:r>
            <w:r>
              <w:rPr>
                <w:rFonts w:hint="eastAsia" w:ascii="仿宋_GB2312" w:hAnsi="仿宋_GB2312" w:eastAsia="仿宋_GB2312" w:cs="仿宋_GB2312"/>
                <w:b w:val="0"/>
                <w:bCs/>
                <w:color w:val="auto"/>
                <w:sz w:val="24"/>
                <w:szCs w:val="24"/>
                <w:highlight w:val="none"/>
              </w:rPr>
              <w:t>场地建设。</w:t>
            </w:r>
            <w:r>
              <w:rPr>
                <w:rFonts w:hint="eastAsia" w:ascii="仿宋_GB2312" w:hAnsi="仿宋_GB2312" w:eastAsia="仿宋_GB2312" w:cs="仿宋_GB2312"/>
                <w:b w:val="0"/>
                <w:bCs/>
                <w:color w:val="auto"/>
                <w:sz w:val="24"/>
                <w:szCs w:val="24"/>
                <w:highlight w:val="none"/>
                <w:lang w:val="en-US" w:eastAsia="zh-CN"/>
              </w:rPr>
              <w:t>统筹协调使用现有资源，结合师级中心需求和作用，进行局部装修和设备购买，充分发挥现有阵地资源最大效益。建设智慧家教中心、心理咨询室、团体辅导室、亲子活动室等；</w:t>
            </w:r>
          </w:p>
          <w:p w14:paraId="21EDB47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仿宋_GB2312" w:hAnsi="仿宋_GB2312" w:eastAsia="仿宋_GB2312" w:cs="仿宋_GB2312"/>
                <w:b w:val="0"/>
                <w:bCs/>
                <w:color w:val="auto"/>
                <w:sz w:val="24"/>
                <w:szCs w:val="24"/>
                <w:highlight w:val="none"/>
                <w:lang w:val="en-US" w:eastAsia="zh-CN"/>
              </w:rPr>
            </w:pPr>
            <w:r>
              <w:rPr>
                <w:rFonts w:hint="eastAsia" w:ascii="Times New Roman" w:hAnsi="Times New Roman" w:eastAsia="仿宋_GB2312" w:cs="Times New Roman"/>
                <w:b w:val="0"/>
                <w:bCs/>
                <w:color w:val="auto"/>
                <w:sz w:val="24"/>
                <w:szCs w:val="24"/>
                <w:highlight w:val="none"/>
                <w:lang w:val="en-US" w:eastAsia="zh-CN"/>
              </w:rPr>
              <w:t>2.</w:t>
            </w:r>
            <w:r>
              <w:rPr>
                <w:rFonts w:hint="eastAsia" w:ascii="仿宋_GB2312" w:hAnsi="仿宋_GB2312" w:eastAsia="仿宋_GB2312" w:cs="仿宋_GB2312"/>
                <w:b w:val="0"/>
                <w:bCs/>
                <w:color w:val="auto"/>
                <w:sz w:val="24"/>
                <w:szCs w:val="24"/>
                <w:highlight w:val="none"/>
                <w:lang w:val="en-US" w:eastAsia="zh-CN"/>
              </w:rPr>
              <w:t>购买服务。通过政府购买服务方式，购买3名具有专业资质或从事过相关工作的管理人员，负责日常运营、协调与基础服务，管理人员纳入新疆红星智汇人力开发有限公司统一管理，并建立薪酬合理增长机制；</w:t>
            </w:r>
          </w:p>
          <w:p w14:paraId="002AB95E">
            <w:pPr>
              <w:keepNext w:val="0"/>
              <w:keepLines w:val="0"/>
              <w:pageBreakBefore w:val="0"/>
              <w:widowControl w:val="0"/>
              <w:numPr>
                <w:ilvl w:val="0"/>
                <w:numId w:val="0"/>
              </w:numPr>
              <w:kinsoku/>
              <w:wordWrap/>
              <w:overflowPunct/>
              <w:topLinePunct w:val="0"/>
              <w:autoSpaceDE w:val="0"/>
              <w:autoSpaceDN/>
              <w:bidi w:val="0"/>
              <w:adjustRightInd/>
              <w:snapToGrid/>
              <w:spacing w:line="440" w:lineRule="exact"/>
              <w:ind w:firstLine="480" w:firstLineChars="200"/>
              <w:jc w:val="both"/>
              <w:textAlignment w:val="auto"/>
              <w:rPr>
                <w:rFonts w:hint="default" w:ascii="Times New Roman" w:hAnsi="Times New Roman" w:eastAsia="仿宋" w:cs="Times New Roman"/>
                <w:b w:val="0"/>
                <w:bCs/>
                <w:color w:val="auto"/>
                <w:kern w:val="0"/>
                <w:sz w:val="24"/>
                <w:szCs w:val="24"/>
                <w:highlight w:val="none"/>
                <w:lang w:val="en-US" w:eastAsia="zh-CN"/>
              </w:rPr>
            </w:pPr>
            <w:r>
              <w:rPr>
                <w:rFonts w:hint="eastAsia" w:ascii="Times New Roman" w:hAnsi="Times New Roman" w:eastAsia="仿宋_GB2312" w:cs="Times New Roman"/>
                <w:b w:val="0"/>
                <w:bCs/>
                <w:color w:val="auto"/>
                <w:sz w:val="24"/>
                <w:szCs w:val="24"/>
                <w:highlight w:val="none"/>
                <w:lang w:val="en-US" w:eastAsia="zh-CN"/>
              </w:rPr>
              <w:t>3.</w:t>
            </w:r>
            <w:r>
              <w:rPr>
                <w:rFonts w:hint="eastAsia" w:ascii="仿宋_GB2312" w:hAnsi="仿宋_GB2312" w:eastAsia="仿宋_GB2312" w:cs="仿宋_GB2312"/>
                <w:b w:val="0"/>
                <w:bCs/>
                <w:color w:val="auto"/>
                <w:sz w:val="24"/>
                <w:szCs w:val="24"/>
                <w:highlight w:val="none"/>
                <w:lang w:val="en-US" w:eastAsia="zh-CN"/>
              </w:rPr>
              <w:t>机构运营。建立全方位规范化运营机制，涵盖服务流程规范、人员管理考核、区域安全保障、水电暖及物业日常运维、品牌宣传推广等环节，搭建线上线下联动服务体系。</w:t>
            </w:r>
          </w:p>
        </w:tc>
      </w:tr>
    </w:tbl>
    <w:p w14:paraId="14FCF05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val="0"/>
          <w:color w:val="auto"/>
          <w:sz w:val="32"/>
          <w:szCs w:val="40"/>
          <w:highlight w:val="none"/>
          <w:lang w:val="en-US" w:eastAsia="zh-CN"/>
        </w:rPr>
      </w:pPr>
      <w:r>
        <w:rPr>
          <w:rFonts w:hint="eastAsia" w:ascii="楷体_GB2312" w:hAnsi="楷体_GB2312" w:eastAsia="楷体_GB2312" w:cs="楷体_GB2312"/>
          <w:b/>
          <w:bCs w:val="0"/>
          <w:color w:val="auto"/>
          <w:sz w:val="32"/>
          <w:szCs w:val="40"/>
          <w:highlight w:val="none"/>
          <w:lang w:val="en-US" w:eastAsia="zh-CN"/>
        </w:rPr>
        <w:t>二、办好社区家长学校</w:t>
      </w:r>
    </w:p>
    <w:p w14:paraId="01BC5F7D">
      <w:pPr>
        <w:pageBreakBefore w:val="0"/>
        <w:kinsoku/>
        <w:wordWrap/>
        <w:overflowPunct/>
        <w:topLinePunct w:val="0"/>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color w:val="auto"/>
          <w:kern w:val="2"/>
          <w:sz w:val="32"/>
          <w:szCs w:val="40"/>
          <w:highlight w:val="none"/>
          <w:lang w:val="en-US" w:eastAsia="zh-CN" w:bidi="ar-SA"/>
        </w:rPr>
      </w:pPr>
      <w:r>
        <w:rPr>
          <w:rFonts w:hint="eastAsia" w:ascii="仿宋_GB2312" w:hAnsi="仿宋_GB2312" w:eastAsia="仿宋_GB2312" w:cs="仿宋_GB2312"/>
          <w:b w:val="0"/>
          <w:bCs/>
          <w:color w:val="auto"/>
          <w:kern w:val="2"/>
          <w:sz w:val="32"/>
          <w:szCs w:val="40"/>
          <w:highlight w:val="none"/>
          <w:lang w:val="en-US" w:eastAsia="zh-CN" w:bidi="ar-SA"/>
        </w:rPr>
        <w:t>社区家长学校是构建覆盖师市家庭教育指导服务网络的前沿主阵地，是推动科学育儿理念直达家庭、促进家校社协同育人的关键平台。按照“七有”标准，有工作机构、有统一标识、有师资队伍、有固定场所、有教学计划、有活动开展、有教学效果，推动社区家长学校扎根基层、服务群众，打通家庭教育赋能的“最后一公里”。</w:t>
      </w:r>
    </w:p>
    <w:p w14:paraId="6E37259F">
      <w:pPr>
        <w:pageBreakBefore w:val="0"/>
        <w:kinsoku/>
        <w:wordWrap/>
        <w:overflowPunct/>
        <w:topLinePunct w:val="0"/>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kern w:val="2"/>
          <w:sz w:val="32"/>
          <w:szCs w:val="40"/>
          <w:highlight w:val="none"/>
          <w:lang w:val="en-US" w:eastAsia="zh-CN" w:bidi="ar-SA"/>
        </w:rPr>
      </w:pPr>
      <w:r>
        <w:rPr>
          <w:rFonts w:hint="default" w:ascii="Times New Roman" w:hAnsi="Times New Roman" w:eastAsia="方正仿宋简体" w:cs="Times New Roman"/>
          <w:b/>
          <w:bCs w:val="0"/>
          <w:color w:val="auto"/>
          <w:kern w:val="2"/>
          <w:sz w:val="32"/>
          <w:szCs w:val="40"/>
          <w:highlight w:val="none"/>
          <w:lang w:val="en-US" w:eastAsia="zh-CN" w:bidi="ar-SA"/>
        </w:rPr>
        <w:t>明确功能定位，强化阵地属性。</w:t>
      </w:r>
      <w:r>
        <w:rPr>
          <w:rFonts w:hint="eastAsia" w:ascii="仿宋_GB2312" w:hAnsi="仿宋_GB2312" w:eastAsia="仿宋_GB2312" w:cs="仿宋_GB2312"/>
          <w:b w:val="0"/>
          <w:bCs/>
          <w:color w:val="auto"/>
          <w:kern w:val="2"/>
          <w:sz w:val="32"/>
          <w:szCs w:val="40"/>
          <w:highlight w:val="none"/>
          <w:lang w:val="en-US" w:eastAsia="zh-CN" w:bidi="ar-SA"/>
        </w:rPr>
        <w:t>聚焦政策宣传、课程统筹、经验交流与需求收集等核心职能，引导家长学习科学教育理念与方法，系统整合各类优质资源，强化资源保障、优化服务供给、精准对接特殊群体与困境家庭需求，引导家长学习科学教育理念与方法，推动家庭教育指导服务普惠均等、广泛覆盖、落地见效。</w:t>
      </w:r>
    </w:p>
    <w:p w14:paraId="5C93193C">
      <w:pPr>
        <w:pageBreakBefore w:val="0"/>
        <w:kinsoku/>
        <w:wordWrap/>
        <w:overflowPunct/>
        <w:topLinePunct w:val="0"/>
        <w:autoSpaceDE w:val="0"/>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kern w:val="2"/>
          <w:sz w:val="32"/>
          <w:szCs w:val="40"/>
          <w:highlight w:val="none"/>
          <w:lang w:val="en-US" w:eastAsia="zh-CN" w:bidi="ar-SA"/>
        </w:rPr>
      </w:pPr>
      <w:r>
        <w:rPr>
          <w:rFonts w:hint="default" w:ascii="Times New Roman" w:hAnsi="Times New Roman" w:eastAsia="方正仿宋简体" w:cs="Times New Roman"/>
          <w:b/>
          <w:bCs w:val="0"/>
          <w:color w:val="auto"/>
          <w:kern w:val="2"/>
          <w:sz w:val="32"/>
          <w:szCs w:val="40"/>
          <w:highlight w:val="none"/>
          <w:lang w:val="en-US" w:eastAsia="zh-CN" w:bidi="ar-SA"/>
        </w:rPr>
        <w:t>推动阵地建设标准化，确保服务可及性。</w:t>
      </w:r>
      <w:r>
        <w:rPr>
          <w:rFonts w:hint="eastAsia" w:ascii="仿宋_GB2312" w:hAnsi="仿宋_GB2312" w:eastAsia="仿宋_GB2312" w:cs="仿宋_GB2312"/>
          <w:b w:val="0"/>
          <w:bCs/>
          <w:color w:val="auto"/>
          <w:kern w:val="2"/>
          <w:sz w:val="32"/>
          <w:szCs w:val="40"/>
          <w:highlight w:val="none"/>
          <w:lang w:val="en-US" w:eastAsia="zh-CN" w:bidi="ar-SA"/>
        </w:rPr>
        <w:t>坚持实用、便捷、集约原则，充分利用社区综合服务设施、新时代文明实践站（所）、妇女儿童之家等现有公共空间进行整合改造，规范标识体系、优化功能分区、配齐基础设备，确保服务的覆盖面与家长的参与度，为家长提供就近可及、舒适安心的活动环境。</w:t>
      </w:r>
    </w:p>
    <w:p w14:paraId="2DC32258">
      <w:pPr>
        <w:pageBreakBefore w:val="0"/>
        <w:kinsoku/>
        <w:wordWrap/>
        <w:overflowPunct/>
        <w:topLinePunct w:val="0"/>
        <w:autoSpaceDE w:val="0"/>
        <w:autoSpaceDN/>
        <w:bidi w:val="0"/>
        <w:adjustRightInd/>
        <w:snapToGrid/>
        <w:spacing w:line="560" w:lineRule="exact"/>
        <w:ind w:firstLine="643" w:firstLineChars="200"/>
        <w:jc w:val="both"/>
        <w:textAlignment w:val="auto"/>
        <w:rPr>
          <w:rFonts w:hint="default" w:ascii="Times New Roman" w:hAnsi="Times New Roman" w:eastAsia="方正仿宋简体" w:cs="Times New Roman"/>
          <w:b w:val="0"/>
          <w:bCs/>
          <w:color w:val="auto"/>
          <w:kern w:val="2"/>
          <w:sz w:val="32"/>
          <w:szCs w:val="40"/>
          <w:highlight w:val="none"/>
          <w:lang w:val="en-US" w:eastAsia="zh-CN" w:bidi="ar-SA"/>
        </w:rPr>
      </w:pPr>
      <w:r>
        <w:rPr>
          <w:rFonts w:hint="default" w:ascii="Times New Roman" w:hAnsi="Times New Roman" w:eastAsia="方正仿宋简体" w:cs="Times New Roman"/>
          <w:b/>
          <w:bCs w:val="0"/>
          <w:color w:val="auto"/>
          <w:kern w:val="2"/>
          <w:sz w:val="32"/>
          <w:szCs w:val="40"/>
          <w:highlight w:val="none"/>
          <w:lang w:val="en-US" w:eastAsia="zh-CN" w:bidi="ar-SA"/>
        </w:rPr>
        <w:t>健全队伍组织，凝聚协同合力。</w:t>
      </w:r>
      <w:r>
        <w:rPr>
          <w:rFonts w:hint="eastAsia" w:ascii="仿宋_GB2312" w:hAnsi="仿宋_GB2312" w:eastAsia="仿宋_GB2312" w:cs="仿宋_GB2312"/>
          <w:b w:val="0"/>
          <w:bCs/>
          <w:color w:val="auto"/>
          <w:kern w:val="2"/>
          <w:sz w:val="32"/>
          <w:szCs w:val="40"/>
          <w:highlight w:val="none"/>
          <w:lang w:val="en-US" w:eastAsia="zh-CN" w:bidi="ar-SA"/>
        </w:rPr>
        <w:t>建立并完善社区党组织领导、妇联组织牵头、多元力量参与的运行管理模式，组建社区工作者主导、网格员纽带、专业人员支撑、志愿者及家长代表参与的联动队伍体系，明确各层级职责分工，形成工作合力。</w:t>
      </w:r>
    </w:p>
    <w:p w14:paraId="4475B094">
      <w:pPr>
        <w:pageBreakBefore w:val="0"/>
        <w:kinsoku/>
        <w:wordWrap/>
        <w:overflowPunct/>
        <w:topLinePunct w:val="0"/>
        <w:autoSpaceDE w:val="0"/>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kern w:val="2"/>
          <w:sz w:val="32"/>
          <w:szCs w:val="40"/>
          <w:highlight w:val="none"/>
          <w:lang w:val="en-US" w:eastAsia="zh-CN" w:bidi="ar-SA"/>
        </w:rPr>
      </w:pPr>
      <w:r>
        <w:rPr>
          <w:rFonts w:hint="default" w:ascii="Times New Roman" w:hAnsi="Times New Roman" w:eastAsia="方正仿宋简体" w:cs="Times New Roman"/>
          <w:b/>
          <w:bCs w:val="0"/>
          <w:color w:val="auto"/>
          <w:kern w:val="2"/>
          <w:sz w:val="32"/>
          <w:szCs w:val="40"/>
          <w:highlight w:val="none"/>
          <w:lang w:val="en-US" w:eastAsia="zh-CN" w:bidi="ar-SA"/>
        </w:rPr>
        <w:t>强化保障与评估，促进可持续发展。</w:t>
      </w:r>
      <w:r>
        <w:rPr>
          <w:rFonts w:hint="eastAsia" w:ascii="仿宋_GB2312" w:hAnsi="仿宋_GB2312" w:eastAsia="仿宋_GB2312" w:cs="仿宋_GB2312"/>
          <w:b w:val="0"/>
          <w:bCs/>
          <w:color w:val="auto"/>
          <w:kern w:val="2"/>
          <w:sz w:val="32"/>
          <w:szCs w:val="40"/>
          <w:highlight w:val="none"/>
          <w:lang w:val="en-US" w:eastAsia="zh-CN" w:bidi="ar-SA"/>
        </w:rPr>
        <w:t>社区家长学校活动经费纳入社区工作预算，统筹链接各级家庭教育指导服务中心的资源配送；选树示范典型，推动其持续健康发展，真正成为扎根基层、服务家庭的坚实阵地。</w:t>
      </w:r>
    </w:p>
    <w:tbl>
      <w:tblPr>
        <w:tblStyle w:val="15"/>
        <w:tblW w:w="8516" w:type="dxa"/>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autofit"/>
        <w:tblCellMar>
          <w:top w:w="0" w:type="dxa"/>
          <w:left w:w="108" w:type="dxa"/>
          <w:bottom w:w="0" w:type="dxa"/>
          <w:right w:w="108" w:type="dxa"/>
        </w:tblCellMar>
      </w:tblPr>
      <w:tblGrid>
        <w:gridCol w:w="8516"/>
      </w:tblGrid>
      <w:tr w14:paraId="5B809559">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PrEx>
        <w:trPr>
          <w:trHeight w:val="0" w:hRule="atLeast"/>
          <w:jc w:val="center"/>
        </w:trPr>
        <w:tc>
          <w:tcPr>
            <w:tcW w:w="8516" w:type="dxa"/>
            <w:tcBorders>
              <w:tl2br w:val="nil"/>
              <w:tr2bl w:val="nil"/>
            </w:tcBorders>
            <w:vAlign w:val="top"/>
          </w:tcPr>
          <w:p w14:paraId="4128E03C">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jc w:val="center"/>
              <w:textAlignment w:val="auto"/>
              <w:rPr>
                <w:rFonts w:hint="eastAsia" w:ascii="仿宋" w:hAnsi="仿宋" w:eastAsia="仿宋" w:cs="仿宋"/>
                <w:b w:val="0"/>
                <w:bCs/>
                <w:color w:val="auto"/>
                <w:sz w:val="24"/>
                <w:szCs w:val="24"/>
                <w:highlight w:val="none"/>
              </w:rPr>
            </w:pPr>
            <w:r>
              <w:rPr>
                <w:rFonts w:hint="eastAsia" w:ascii="仿宋_GB2312" w:hAnsi="仿宋_GB2312" w:eastAsia="仿宋_GB2312" w:cs="仿宋_GB2312"/>
                <w:b w:val="0"/>
                <w:bCs/>
                <w:color w:val="auto"/>
                <w:sz w:val="24"/>
                <w:szCs w:val="24"/>
                <w:highlight w:val="none"/>
              </w:rPr>
              <w:t>专栏</w:t>
            </w:r>
            <w:r>
              <w:rPr>
                <w:rFonts w:hint="eastAsia" w:ascii="Times New Roman" w:hAnsi="Times New Roman" w:eastAsia="仿宋_GB2312" w:cs="Times New Roman"/>
                <w:b w:val="0"/>
                <w:bCs/>
                <w:color w:val="auto"/>
                <w:sz w:val="24"/>
                <w:szCs w:val="24"/>
                <w:highlight w:val="none"/>
                <w:lang w:val="en-US" w:eastAsia="zh-CN"/>
              </w:rPr>
              <w:t>3</w:t>
            </w:r>
            <w:r>
              <w:rPr>
                <w:rFonts w:hint="eastAsia" w:ascii="仿宋_GB2312" w:hAnsi="仿宋_GB2312" w:eastAsia="仿宋_GB2312" w:cs="仿宋_GB2312"/>
                <w:b w:val="0"/>
                <w:bCs/>
                <w:color w:val="auto"/>
                <w:sz w:val="24"/>
                <w:szCs w:val="24"/>
                <w:highlight w:val="none"/>
              </w:rPr>
              <w:t>——社区家长学校建设项目</w:t>
            </w:r>
          </w:p>
        </w:tc>
      </w:tr>
      <w:tr w14:paraId="6882ACCD">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8516" w:type="dxa"/>
            <w:tcBorders>
              <w:tl2br w:val="nil"/>
              <w:tr2bl w:val="nil"/>
            </w:tcBorders>
            <w:vAlign w:val="top"/>
          </w:tcPr>
          <w:p w14:paraId="7094854E">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firstLine="480" w:firstLineChars="200"/>
              <w:jc w:val="both"/>
              <w:textAlignment w:val="auto"/>
              <w:rPr>
                <w:rFonts w:hint="eastAsia" w:ascii="仿宋_GB2312" w:hAnsi="仿宋_GB2312" w:eastAsia="仿宋_GB2312" w:cs="仿宋_GB2312"/>
                <w:b w:val="0"/>
                <w:bCs/>
                <w:color w:val="auto"/>
                <w:sz w:val="24"/>
                <w:szCs w:val="24"/>
                <w:highlight w:val="none"/>
                <w:lang w:val="en-US" w:eastAsia="zh-CN"/>
              </w:rPr>
            </w:pPr>
            <w:r>
              <w:rPr>
                <w:rFonts w:hint="eastAsia" w:ascii="Times New Roman" w:hAnsi="Times New Roman" w:eastAsia="仿宋_GB2312" w:cs="Times New Roman"/>
                <w:b w:val="0"/>
                <w:bCs/>
                <w:color w:val="auto"/>
                <w:sz w:val="24"/>
                <w:szCs w:val="24"/>
                <w:highlight w:val="none"/>
                <w:lang w:val="en-US" w:eastAsia="zh-CN"/>
              </w:rPr>
              <w:t>1.</w:t>
            </w:r>
            <w:r>
              <w:rPr>
                <w:rFonts w:hint="eastAsia" w:ascii="仿宋_GB2312" w:hAnsi="仿宋_GB2312" w:eastAsia="仿宋_GB2312" w:cs="仿宋_GB2312"/>
                <w:b w:val="0"/>
                <w:bCs/>
                <w:color w:val="auto"/>
                <w:sz w:val="24"/>
                <w:szCs w:val="24"/>
                <w:highlight w:val="none"/>
                <w:lang w:val="en-US" w:eastAsia="zh-CN"/>
              </w:rPr>
              <w:t>阵地建设</w:t>
            </w:r>
            <w:r>
              <w:rPr>
                <w:rFonts w:hint="eastAsia" w:ascii="仿宋_GB2312" w:hAnsi="仿宋_GB2312" w:eastAsia="仿宋_GB2312" w:cs="仿宋_GB2312"/>
                <w:b w:val="0"/>
                <w:bCs/>
                <w:color w:val="auto"/>
                <w:sz w:val="24"/>
                <w:szCs w:val="24"/>
                <w:highlight w:val="none"/>
              </w:rPr>
              <w:t>。</w:t>
            </w:r>
            <w:r>
              <w:rPr>
                <w:rFonts w:hint="eastAsia" w:ascii="仿宋_GB2312" w:hAnsi="仿宋_GB2312" w:eastAsia="仿宋_GB2312" w:cs="仿宋_GB2312"/>
                <w:b w:val="0"/>
                <w:bCs/>
                <w:color w:val="auto"/>
                <w:sz w:val="24"/>
                <w:szCs w:val="24"/>
                <w:highlight w:val="none"/>
                <w:lang w:val="en-US" w:eastAsia="zh-CN"/>
              </w:rPr>
              <w:t>社区家长学校需具备固定活动场地，依托社区现有公共空间整合打造，避免重复建设。合理划分课程教学区、亲子活动区、咨询辅导区等功能区域，确保空间实用、便捷，契合家长就近参与需求；</w:t>
            </w:r>
          </w:p>
          <w:p w14:paraId="3B6D5EB3">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firstLine="480" w:firstLineChars="200"/>
              <w:jc w:val="both"/>
              <w:textAlignment w:val="auto"/>
              <w:rPr>
                <w:rFonts w:hint="eastAsia" w:ascii="仿宋_GB2312" w:hAnsi="仿宋_GB2312" w:eastAsia="仿宋_GB2312" w:cs="仿宋_GB2312"/>
                <w:b w:val="0"/>
                <w:bCs/>
                <w:color w:val="auto"/>
                <w:sz w:val="24"/>
                <w:szCs w:val="24"/>
                <w:highlight w:val="none"/>
                <w:lang w:val="en-US" w:eastAsia="zh-CN"/>
              </w:rPr>
            </w:pPr>
            <w:r>
              <w:rPr>
                <w:rFonts w:hint="eastAsia" w:ascii="Times New Roman" w:hAnsi="Times New Roman" w:eastAsia="仿宋_GB2312" w:cs="Times New Roman"/>
                <w:b w:val="0"/>
                <w:bCs/>
                <w:color w:val="auto"/>
                <w:sz w:val="24"/>
                <w:szCs w:val="24"/>
                <w:highlight w:val="none"/>
                <w:lang w:val="en-US" w:eastAsia="zh-CN"/>
              </w:rPr>
              <w:t>2.</w:t>
            </w:r>
            <w:r>
              <w:rPr>
                <w:rFonts w:hint="eastAsia" w:ascii="仿宋_GB2312" w:hAnsi="仿宋_GB2312" w:eastAsia="仿宋_GB2312" w:cs="仿宋_GB2312"/>
                <w:b w:val="0"/>
                <w:bCs/>
                <w:color w:val="auto"/>
                <w:sz w:val="24"/>
                <w:szCs w:val="24"/>
                <w:highlight w:val="none"/>
                <w:lang w:val="en-US" w:eastAsia="zh-CN"/>
              </w:rPr>
              <w:t>设施配置。经团场推荐，选定</w:t>
            </w:r>
            <w:r>
              <w:rPr>
                <w:rFonts w:hint="eastAsia" w:ascii="Times New Roman" w:hAnsi="Times New Roman" w:eastAsia="仿宋_GB2312" w:cs="Times New Roman"/>
                <w:b w:val="0"/>
                <w:bCs/>
                <w:color w:val="auto"/>
                <w:sz w:val="24"/>
                <w:szCs w:val="24"/>
                <w:highlight w:val="none"/>
                <w:lang w:val="en-US" w:eastAsia="zh-CN"/>
              </w:rPr>
              <w:t>6</w:t>
            </w:r>
            <w:r>
              <w:rPr>
                <w:rFonts w:hint="eastAsia" w:ascii="仿宋_GB2312" w:hAnsi="仿宋_GB2312" w:eastAsia="仿宋_GB2312" w:cs="仿宋_GB2312"/>
                <w:b w:val="0"/>
                <w:bCs/>
                <w:color w:val="auto"/>
                <w:sz w:val="24"/>
                <w:szCs w:val="24"/>
                <w:highlight w:val="none"/>
                <w:lang w:val="en-US" w:eastAsia="zh-CN"/>
              </w:rPr>
              <w:t>个人口较集中的社区家长学校，配齐基础教学与专业心理辅导设备、家庭教育书籍资料、亲子互动器材及安全防护设施；设置专题宣传栏，常态化展示家庭教育政策、科学育儿知识、活动预告等内容；</w:t>
            </w:r>
          </w:p>
          <w:p w14:paraId="092CEDE2">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firstLine="480" w:firstLineChars="200"/>
              <w:jc w:val="both"/>
              <w:textAlignment w:val="auto"/>
              <w:rPr>
                <w:rFonts w:hint="eastAsia" w:ascii="仿宋" w:hAnsi="仿宋" w:eastAsia="仿宋" w:cs="仿宋"/>
                <w:b w:val="0"/>
                <w:bCs/>
                <w:color w:val="auto"/>
                <w:sz w:val="24"/>
                <w:szCs w:val="24"/>
                <w:highlight w:val="none"/>
                <w:lang w:val="en-US" w:eastAsia="zh-CN"/>
              </w:rPr>
            </w:pPr>
            <w:r>
              <w:rPr>
                <w:rFonts w:hint="eastAsia" w:ascii="Times New Roman" w:hAnsi="Times New Roman" w:eastAsia="仿宋_GB2312" w:cs="Times New Roman"/>
                <w:b w:val="0"/>
                <w:bCs/>
                <w:color w:val="auto"/>
                <w:sz w:val="24"/>
                <w:szCs w:val="24"/>
                <w:highlight w:val="none"/>
                <w:lang w:val="en-US" w:eastAsia="zh-CN"/>
              </w:rPr>
              <w:t>3.</w:t>
            </w:r>
            <w:r>
              <w:rPr>
                <w:rFonts w:hint="eastAsia" w:ascii="仿宋_GB2312" w:hAnsi="仿宋_GB2312" w:eastAsia="仿宋_GB2312" w:cs="仿宋_GB2312"/>
                <w:b w:val="0"/>
                <w:bCs/>
                <w:color w:val="auto"/>
                <w:sz w:val="24"/>
                <w:szCs w:val="24"/>
                <w:highlight w:val="none"/>
                <w:lang w:val="en-US" w:eastAsia="zh-CN"/>
              </w:rPr>
              <w:t>服务提质。针对重点及不同类型家庭开展</w:t>
            </w:r>
            <w:r>
              <w:rPr>
                <w:rFonts w:hint="eastAsia" w:ascii="Times New Roman" w:hAnsi="Times New Roman" w:eastAsia="仿宋_GB2312" w:cs="Times New Roman"/>
                <w:b w:val="0"/>
                <w:bCs/>
                <w:color w:val="auto"/>
                <w:sz w:val="24"/>
                <w:szCs w:val="24"/>
                <w:highlight w:val="none"/>
                <w:lang w:val="en-US" w:eastAsia="zh-CN"/>
              </w:rPr>
              <w:t>1</w:t>
            </w:r>
            <w:r>
              <w:rPr>
                <w:rFonts w:hint="eastAsia" w:ascii="仿宋_GB2312" w:hAnsi="仿宋_GB2312" w:eastAsia="仿宋_GB2312" w:cs="仿宋_GB2312"/>
                <w:b w:val="0"/>
                <w:bCs/>
                <w:color w:val="auto"/>
                <w:sz w:val="24"/>
                <w:szCs w:val="24"/>
                <w:highlight w:val="none"/>
                <w:lang w:val="en-US" w:eastAsia="zh-CN"/>
              </w:rPr>
              <w:t>对</w:t>
            </w:r>
            <w:r>
              <w:rPr>
                <w:rFonts w:hint="default" w:ascii="Times New Roman" w:hAnsi="Times New Roman" w:eastAsia="仿宋_GB2312" w:cs="Times New Roman"/>
                <w:b w:val="0"/>
                <w:bCs/>
                <w:color w:val="auto"/>
                <w:sz w:val="24"/>
                <w:szCs w:val="24"/>
                <w:highlight w:val="none"/>
                <w:lang w:val="en-US" w:eastAsia="zh-CN"/>
              </w:rPr>
              <w:t>1</w:t>
            </w:r>
            <w:r>
              <w:rPr>
                <w:rFonts w:hint="eastAsia" w:ascii="仿宋_GB2312" w:hAnsi="仿宋_GB2312" w:eastAsia="仿宋_GB2312" w:cs="仿宋_GB2312"/>
                <w:b w:val="0"/>
                <w:bCs/>
                <w:color w:val="auto"/>
                <w:sz w:val="24"/>
                <w:szCs w:val="24"/>
                <w:highlight w:val="none"/>
                <w:lang w:val="en-US" w:eastAsia="zh-CN"/>
              </w:rPr>
              <w:t>指导，涵盖青少年心理健康教育、亲子关系等，推行家庭参与积分兑换服务，鼓励家庭主动参与。</w:t>
            </w:r>
          </w:p>
        </w:tc>
      </w:tr>
    </w:tbl>
    <w:p w14:paraId="59E1027B">
      <w:pPr>
        <w:pStyle w:val="4"/>
        <w:bidi w:val="0"/>
        <w:rPr>
          <w:rFonts w:hint="default"/>
          <w:color w:val="auto"/>
          <w:lang w:val="en-US" w:eastAsia="zh-CN"/>
        </w:rPr>
      </w:pPr>
      <w:bookmarkStart w:id="34" w:name="_Toc22979"/>
      <w:bookmarkStart w:id="35" w:name="_Toc1198643139"/>
      <w:bookmarkStart w:id="36" w:name="_Toc10382"/>
      <w:bookmarkStart w:id="37" w:name="_Toc1175149985"/>
      <w:bookmarkStart w:id="38" w:name="_Toc952706905"/>
    </w:p>
    <w:tbl>
      <w:tblPr>
        <w:tblStyle w:val="15"/>
        <w:tblW w:w="5000"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8"/>
      </w:tblGrid>
      <w:tr w14:paraId="72D2CD7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5000" w:type="pct"/>
            <w:tcBorders>
              <w:left w:val="single" w:color="auto" w:sz="4" w:space="0"/>
              <w:bottom w:val="single" w:color="auto" w:sz="4" w:space="0"/>
              <w:right w:val="single" w:color="auto" w:sz="4" w:space="0"/>
            </w:tcBorders>
            <w:vAlign w:val="top"/>
          </w:tcPr>
          <w:p w14:paraId="163399AD">
            <w:pPr>
              <w:keepNext w:val="0"/>
              <w:keepLines w:val="0"/>
              <w:pageBreakBefore w:val="0"/>
              <w:widowControl w:val="0"/>
              <w:kinsoku/>
              <w:wordWrap/>
              <w:overflowPunct/>
              <w:topLinePunct w:val="0"/>
              <w:autoSpaceDE w:val="0"/>
              <w:autoSpaceDN/>
              <w:bidi w:val="0"/>
              <w:adjustRightInd/>
              <w:snapToGrid/>
              <w:spacing w:line="440" w:lineRule="exact"/>
              <w:jc w:val="center"/>
              <w:textAlignment w:val="auto"/>
              <w:rPr>
                <w:rFonts w:hint="default" w:ascii="Times New Roman" w:hAnsi="Times New Roman" w:eastAsia="仿宋" w:cs="Times New Roman"/>
                <w:b w:val="0"/>
                <w:bCs/>
                <w:color w:val="auto"/>
                <w:sz w:val="24"/>
                <w:szCs w:val="24"/>
                <w:highlight w:val="none"/>
                <w:lang w:val="en-US" w:eastAsia="zh-CN"/>
              </w:rPr>
            </w:pPr>
            <w:r>
              <w:rPr>
                <w:rFonts w:hint="eastAsia" w:ascii="仿宋_GB2312" w:hAnsi="仿宋_GB2312" w:eastAsia="仿宋_GB2312" w:cs="仿宋_GB2312"/>
                <w:b w:val="0"/>
                <w:bCs/>
                <w:color w:val="auto"/>
                <w:sz w:val="24"/>
                <w:szCs w:val="24"/>
                <w:highlight w:val="none"/>
              </w:rPr>
              <w:t>专栏</w:t>
            </w:r>
            <w:r>
              <w:rPr>
                <w:rFonts w:hint="eastAsia" w:ascii="仿宋_GB2312" w:hAnsi="仿宋_GB2312" w:eastAsia="仿宋_GB2312" w:cs="仿宋_GB2312"/>
                <w:b w:val="0"/>
                <w:bCs/>
                <w:color w:val="auto"/>
                <w:sz w:val="24"/>
                <w:szCs w:val="24"/>
                <w:highlight w:val="none"/>
                <w:lang w:val="en-US" w:eastAsia="zh-CN"/>
              </w:rPr>
              <w:t>4</w:t>
            </w:r>
            <w:r>
              <w:rPr>
                <w:rFonts w:hint="eastAsia" w:ascii="仿宋_GB2312" w:hAnsi="仿宋_GB2312" w:eastAsia="仿宋_GB2312" w:cs="仿宋_GB2312"/>
                <w:b w:val="0"/>
                <w:bCs/>
                <w:color w:val="auto"/>
                <w:sz w:val="24"/>
                <w:szCs w:val="24"/>
                <w:highlight w:val="none"/>
              </w:rPr>
              <w:t>——</w:t>
            </w:r>
            <w:r>
              <w:rPr>
                <w:rFonts w:hint="eastAsia" w:ascii="仿宋_GB2312" w:hAnsi="仿宋_GB2312" w:eastAsia="仿宋_GB2312" w:cs="仿宋_GB2312"/>
                <w:b w:val="0"/>
                <w:bCs/>
                <w:color w:val="auto"/>
                <w:sz w:val="24"/>
                <w:szCs w:val="24"/>
                <w:highlight w:val="none"/>
                <w:lang w:val="en-US" w:eastAsia="zh-CN"/>
              </w:rPr>
              <w:t>木兰·百场家庭教育讲座进万家活动</w:t>
            </w:r>
          </w:p>
        </w:tc>
      </w:tr>
      <w:tr w14:paraId="016200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jc w:val="center"/>
        </w:trPr>
        <w:tc>
          <w:tcPr>
            <w:tcW w:w="5000" w:type="pct"/>
            <w:tcBorders>
              <w:top w:val="single" w:color="auto" w:sz="4" w:space="0"/>
              <w:left w:val="single" w:color="auto" w:sz="4" w:space="0"/>
              <w:bottom w:val="single" w:color="auto" w:sz="4" w:space="0"/>
              <w:right w:val="single" w:color="auto" w:sz="4" w:space="0"/>
            </w:tcBorders>
            <w:vAlign w:val="top"/>
          </w:tcPr>
          <w:p w14:paraId="6C3ECDDD">
            <w:pPr>
              <w:keepNext w:val="0"/>
              <w:keepLines w:val="0"/>
              <w:pageBreakBefore w:val="0"/>
              <w:widowControl w:val="0"/>
              <w:numPr>
                <w:ilvl w:val="0"/>
                <w:numId w:val="0"/>
              </w:numPr>
              <w:kinsoku/>
              <w:wordWrap/>
              <w:overflowPunct/>
              <w:topLinePunct w:val="0"/>
              <w:autoSpaceDE w:val="0"/>
              <w:autoSpaceDN/>
              <w:bidi w:val="0"/>
              <w:adjustRightInd/>
              <w:snapToGrid/>
              <w:spacing w:line="440" w:lineRule="exact"/>
              <w:ind w:firstLine="480" w:firstLineChars="200"/>
              <w:jc w:val="both"/>
              <w:textAlignment w:val="auto"/>
              <w:rPr>
                <w:rFonts w:hint="eastAsia" w:ascii="仿宋_GB2312" w:hAnsi="仿宋_GB2312" w:eastAsia="仿宋_GB2312" w:cs="仿宋_GB2312"/>
                <w:b w:val="0"/>
                <w:bCs/>
                <w:color w:val="auto"/>
                <w:kern w:val="0"/>
                <w:sz w:val="24"/>
                <w:szCs w:val="24"/>
                <w:highlight w:val="none"/>
                <w:lang w:val="en-US" w:eastAsia="zh-CN"/>
              </w:rPr>
            </w:pPr>
            <w:r>
              <w:rPr>
                <w:rFonts w:hint="eastAsia" w:ascii="Times New Roman" w:hAnsi="Times New Roman" w:eastAsia="仿宋_GB2312" w:cs="Times New Roman"/>
                <w:b w:val="0"/>
                <w:bCs/>
                <w:color w:val="auto"/>
                <w:sz w:val="24"/>
                <w:szCs w:val="24"/>
                <w:highlight w:val="none"/>
                <w:lang w:val="en-US" w:eastAsia="zh-CN"/>
              </w:rPr>
              <w:t>1.</w:t>
            </w:r>
            <w:r>
              <w:rPr>
                <w:rFonts w:hint="eastAsia" w:ascii="仿宋_GB2312" w:hAnsi="仿宋_GB2312" w:eastAsia="仿宋_GB2312" w:cs="仿宋_GB2312"/>
                <w:b w:val="0"/>
                <w:bCs/>
                <w:color w:val="auto"/>
                <w:kern w:val="0"/>
                <w:sz w:val="24"/>
                <w:szCs w:val="24"/>
                <w:highlight w:val="none"/>
                <w:lang w:val="en-US" w:eastAsia="zh-CN"/>
              </w:rPr>
              <w:t>公益服务精准覆盖</w:t>
            </w:r>
            <w:r>
              <w:rPr>
                <w:rFonts w:hint="eastAsia" w:ascii="仿宋_GB2312" w:hAnsi="仿宋_GB2312" w:eastAsia="仿宋_GB2312" w:cs="仿宋_GB2312"/>
                <w:b w:val="0"/>
                <w:bCs/>
                <w:color w:val="auto"/>
                <w:kern w:val="0"/>
                <w:sz w:val="24"/>
                <w:szCs w:val="24"/>
                <w:highlight w:val="none"/>
                <w:lang w:eastAsia="zh-CN"/>
              </w:rPr>
              <w:t>。</w:t>
            </w:r>
            <w:r>
              <w:rPr>
                <w:rFonts w:hint="eastAsia" w:ascii="仿宋_GB2312" w:hAnsi="仿宋_GB2312" w:eastAsia="仿宋_GB2312" w:cs="仿宋_GB2312"/>
                <w:b w:val="0"/>
                <w:bCs/>
                <w:color w:val="auto"/>
                <w:kern w:val="0"/>
                <w:sz w:val="24"/>
                <w:szCs w:val="24"/>
                <w:highlight w:val="none"/>
                <w:lang w:val="en-US" w:eastAsia="zh-CN"/>
              </w:rPr>
              <w:t>针对不同年龄段儿童成长特点、家庭教育痛点及社会关注热点，以政府购买服务方式，引进专业机构，通过“家长点单”方式，定制个性化讲座内容，涵盖行为习惯、亲子沟通、学习力提升、情绪管理等主题；</w:t>
            </w:r>
          </w:p>
          <w:p w14:paraId="7F52025D">
            <w:pPr>
              <w:keepNext w:val="0"/>
              <w:keepLines w:val="0"/>
              <w:pageBreakBefore w:val="0"/>
              <w:widowControl w:val="0"/>
              <w:numPr>
                <w:ilvl w:val="0"/>
                <w:numId w:val="0"/>
              </w:numPr>
              <w:kinsoku/>
              <w:wordWrap/>
              <w:overflowPunct/>
              <w:topLinePunct w:val="0"/>
              <w:autoSpaceDE w:val="0"/>
              <w:autoSpaceDN/>
              <w:bidi w:val="0"/>
              <w:adjustRightInd/>
              <w:snapToGrid/>
              <w:spacing w:line="440" w:lineRule="exact"/>
              <w:ind w:firstLine="480" w:firstLineChars="200"/>
              <w:jc w:val="both"/>
              <w:textAlignment w:val="auto"/>
              <w:rPr>
                <w:rFonts w:hint="eastAsia" w:ascii="仿宋_GB2312" w:hAnsi="仿宋_GB2312" w:eastAsia="仿宋_GB2312" w:cs="仿宋_GB2312"/>
                <w:b w:val="0"/>
                <w:bCs/>
                <w:color w:val="auto"/>
                <w:kern w:val="0"/>
                <w:sz w:val="24"/>
                <w:szCs w:val="24"/>
                <w:highlight w:val="none"/>
                <w:lang w:val="en-US" w:eastAsia="zh-CN"/>
              </w:rPr>
            </w:pPr>
            <w:r>
              <w:rPr>
                <w:rFonts w:hint="eastAsia" w:ascii="Times New Roman" w:hAnsi="Times New Roman" w:eastAsia="仿宋_GB2312" w:cs="Times New Roman"/>
                <w:b w:val="0"/>
                <w:bCs/>
                <w:color w:val="auto"/>
                <w:sz w:val="24"/>
                <w:szCs w:val="24"/>
                <w:highlight w:val="none"/>
                <w:lang w:val="en-US" w:eastAsia="zh-CN"/>
              </w:rPr>
              <w:t>2.</w:t>
            </w:r>
            <w:r>
              <w:rPr>
                <w:rFonts w:hint="eastAsia" w:ascii="仿宋_GB2312" w:hAnsi="仿宋_GB2312" w:eastAsia="仿宋_GB2312" w:cs="仿宋_GB2312"/>
                <w:b w:val="0"/>
                <w:bCs/>
                <w:color w:val="auto"/>
                <w:kern w:val="0"/>
                <w:sz w:val="24"/>
                <w:szCs w:val="24"/>
                <w:highlight w:val="none"/>
                <w:lang w:val="en-US" w:eastAsia="zh-CN"/>
              </w:rPr>
              <w:t>多元队伍支撑</w:t>
            </w:r>
            <w:r>
              <w:rPr>
                <w:rFonts w:hint="eastAsia" w:ascii="仿宋_GB2312" w:hAnsi="仿宋_GB2312" w:eastAsia="仿宋_GB2312" w:cs="仿宋_GB2312"/>
                <w:b w:val="0"/>
                <w:bCs/>
                <w:color w:val="auto"/>
                <w:kern w:val="0"/>
                <w:sz w:val="24"/>
                <w:szCs w:val="24"/>
                <w:highlight w:val="none"/>
                <w:lang w:eastAsia="zh-CN"/>
              </w:rPr>
              <w:t>。组建“木兰讲师团”，吸纳妇联干部、优秀教师、司法干警、心理咨询师及“最美家庭”代表，形成“专家+骨干+志愿者”的联动服务队伍；</w:t>
            </w:r>
          </w:p>
          <w:p w14:paraId="054814B8">
            <w:pPr>
              <w:keepNext w:val="0"/>
              <w:keepLines w:val="0"/>
              <w:pageBreakBefore w:val="0"/>
              <w:widowControl w:val="0"/>
              <w:numPr>
                <w:ilvl w:val="0"/>
                <w:numId w:val="0"/>
              </w:numPr>
              <w:kinsoku/>
              <w:wordWrap/>
              <w:overflowPunct/>
              <w:topLinePunct w:val="0"/>
              <w:autoSpaceDE w:val="0"/>
              <w:autoSpaceDN/>
              <w:bidi w:val="0"/>
              <w:adjustRightInd/>
              <w:snapToGrid/>
              <w:spacing w:line="440" w:lineRule="exact"/>
              <w:ind w:firstLine="480" w:firstLineChars="200"/>
              <w:jc w:val="both"/>
              <w:textAlignment w:val="auto"/>
              <w:rPr>
                <w:rFonts w:hint="default" w:ascii="Times New Roman" w:hAnsi="Times New Roman" w:eastAsia="仿宋" w:cs="Times New Roman"/>
                <w:b w:val="0"/>
                <w:bCs/>
                <w:color w:val="auto"/>
                <w:kern w:val="0"/>
                <w:sz w:val="24"/>
                <w:szCs w:val="24"/>
                <w:highlight w:val="none"/>
                <w:lang w:val="en-US" w:eastAsia="zh-CN"/>
              </w:rPr>
            </w:pPr>
            <w:r>
              <w:rPr>
                <w:rFonts w:hint="eastAsia" w:ascii="Times New Roman" w:hAnsi="Times New Roman" w:eastAsia="仿宋_GB2312" w:cs="Times New Roman"/>
                <w:b w:val="0"/>
                <w:bCs/>
                <w:color w:val="auto"/>
                <w:sz w:val="24"/>
                <w:szCs w:val="24"/>
                <w:highlight w:val="none"/>
                <w:lang w:val="en-US" w:eastAsia="zh-CN"/>
              </w:rPr>
              <w:t>3.</w:t>
            </w:r>
            <w:r>
              <w:rPr>
                <w:rFonts w:hint="eastAsia" w:ascii="仿宋_GB2312" w:hAnsi="仿宋_GB2312" w:eastAsia="仿宋_GB2312" w:cs="仿宋_GB2312"/>
                <w:b w:val="0"/>
                <w:bCs/>
                <w:color w:val="auto"/>
                <w:sz w:val="24"/>
                <w:szCs w:val="24"/>
                <w:highlight w:val="none"/>
              </w:rPr>
              <w:t>品牌传播</w:t>
            </w:r>
            <w:r>
              <w:rPr>
                <w:rFonts w:hint="eastAsia" w:ascii="仿宋_GB2312" w:hAnsi="仿宋_GB2312" w:eastAsia="仿宋_GB2312" w:cs="仿宋_GB2312"/>
                <w:b w:val="0"/>
                <w:bCs/>
                <w:color w:val="auto"/>
                <w:sz w:val="24"/>
                <w:szCs w:val="24"/>
                <w:highlight w:val="none"/>
                <w:lang w:eastAsia="zh-CN"/>
              </w:rPr>
              <w:t>。</w:t>
            </w:r>
            <w:r>
              <w:rPr>
                <w:rFonts w:hint="eastAsia" w:ascii="仿宋_GB2312" w:hAnsi="仿宋_GB2312" w:eastAsia="仿宋_GB2312" w:cs="仿宋_GB2312"/>
                <w:b w:val="0"/>
                <w:bCs/>
                <w:color w:val="auto"/>
                <w:kern w:val="0"/>
                <w:sz w:val="24"/>
                <w:szCs w:val="24"/>
                <w:highlight w:val="none"/>
                <w:lang w:val="en-US" w:eastAsia="zh-CN"/>
              </w:rPr>
              <w:t>持续扩大“木兰”品牌影响力与感染力。累计开展</w:t>
            </w:r>
            <w:r>
              <w:rPr>
                <w:rFonts w:hint="default" w:ascii="Times New Roman" w:hAnsi="Times New Roman" w:eastAsia="仿宋_GB2312" w:cs="Times New Roman"/>
                <w:b w:val="0"/>
                <w:bCs/>
                <w:color w:val="auto"/>
                <w:sz w:val="24"/>
                <w:szCs w:val="24"/>
                <w:highlight w:val="none"/>
                <w:lang w:val="en-US" w:eastAsia="zh-CN"/>
              </w:rPr>
              <w:t>50</w:t>
            </w:r>
            <w:r>
              <w:rPr>
                <w:rFonts w:hint="eastAsia" w:ascii="Times New Roman" w:hAnsi="Times New Roman" w:eastAsia="仿宋_GB2312" w:cs="Times New Roman"/>
                <w:b w:val="0"/>
                <w:bCs/>
                <w:color w:val="auto"/>
                <w:sz w:val="24"/>
                <w:szCs w:val="24"/>
                <w:highlight w:val="none"/>
                <w:lang w:val="en-US" w:eastAsia="zh-CN"/>
              </w:rPr>
              <w:t>0</w:t>
            </w:r>
            <w:r>
              <w:rPr>
                <w:rFonts w:hint="eastAsia" w:ascii="仿宋_GB2312" w:hAnsi="仿宋_GB2312" w:eastAsia="仿宋_GB2312" w:cs="仿宋_GB2312"/>
                <w:b w:val="0"/>
                <w:bCs/>
                <w:color w:val="auto"/>
                <w:kern w:val="0"/>
                <w:sz w:val="24"/>
                <w:szCs w:val="24"/>
                <w:highlight w:val="none"/>
                <w:lang w:val="en-US" w:eastAsia="zh-CN"/>
              </w:rPr>
              <w:t>场以上活动，累计覆盖</w:t>
            </w:r>
            <w:r>
              <w:rPr>
                <w:rFonts w:hint="eastAsia" w:ascii="Times New Roman" w:hAnsi="Times New Roman" w:eastAsia="仿宋_GB2312" w:cs="Times New Roman"/>
                <w:b w:val="0"/>
                <w:bCs/>
                <w:color w:val="auto"/>
                <w:sz w:val="24"/>
                <w:szCs w:val="24"/>
                <w:highlight w:val="none"/>
                <w:lang w:val="en-US" w:eastAsia="zh-CN"/>
              </w:rPr>
              <w:t>1.5</w:t>
            </w:r>
            <w:r>
              <w:rPr>
                <w:rFonts w:hint="eastAsia" w:ascii="仿宋_GB2312" w:hAnsi="仿宋_GB2312" w:eastAsia="仿宋_GB2312" w:cs="仿宋_GB2312"/>
                <w:b w:val="0"/>
                <w:bCs/>
                <w:color w:val="auto"/>
                <w:kern w:val="0"/>
                <w:sz w:val="24"/>
                <w:szCs w:val="24"/>
                <w:highlight w:val="none"/>
                <w:lang w:val="en-US" w:eastAsia="zh-CN"/>
              </w:rPr>
              <w:t>万（人次）家长。</w:t>
            </w:r>
          </w:p>
        </w:tc>
      </w:tr>
    </w:tbl>
    <w:p w14:paraId="5C8637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b w:val="0"/>
          <w:bCs/>
          <w:color w:val="auto"/>
          <w:kern w:val="2"/>
          <w:sz w:val="32"/>
          <w:szCs w:val="40"/>
          <w:highlight w:val="none"/>
          <w:lang w:val="en-US" w:eastAsia="zh-CN" w:bidi="ar-SA"/>
        </w:rPr>
      </w:pPr>
    </w:p>
    <w:tbl>
      <w:tblPr>
        <w:tblStyle w:val="16"/>
        <w:tblW w:w="89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4"/>
      </w:tblGrid>
      <w:tr w14:paraId="1110B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4" w:type="dxa"/>
            <w:tcBorders>
              <w:bottom w:val="single" w:color="auto" w:sz="4" w:space="0"/>
            </w:tcBorders>
            <w:vAlign w:val="top"/>
          </w:tcPr>
          <w:p w14:paraId="330BF233">
            <w:pPr>
              <w:keepNext w:val="0"/>
              <w:keepLines w:val="0"/>
              <w:pageBreakBefore w:val="0"/>
              <w:widowControl w:val="0"/>
              <w:numPr>
                <w:ilvl w:val="0"/>
                <w:numId w:val="0"/>
              </w:numPr>
              <w:kinsoku/>
              <w:wordWrap/>
              <w:overflowPunct/>
              <w:topLinePunct w:val="0"/>
              <w:autoSpaceDE w:val="0"/>
              <w:autoSpaceDN/>
              <w:bidi w:val="0"/>
              <w:adjustRightInd/>
              <w:snapToGrid/>
              <w:spacing w:line="440" w:lineRule="exact"/>
              <w:ind w:firstLine="480" w:firstLineChars="200"/>
              <w:jc w:val="center"/>
              <w:textAlignment w:val="auto"/>
              <w:rPr>
                <w:rFonts w:hint="default" w:ascii="Times New Roman" w:hAnsi="Times New Roman" w:eastAsia="仿宋" w:cs="Times New Roman"/>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专栏</w:t>
            </w:r>
            <w:r>
              <w:rPr>
                <w:rFonts w:hint="eastAsia" w:ascii="Times New Roman" w:hAnsi="Times New Roman" w:eastAsia="仿宋_GB2312" w:cs="Times New Roman"/>
                <w:b w:val="0"/>
                <w:bCs/>
                <w:color w:val="auto"/>
                <w:sz w:val="24"/>
                <w:szCs w:val="24"/>
                <w:highlight w:val="none"/>
                <w:lang w:val="en-US" w:eastAsia="zh-CN"/>
              </w:rPr>
              <w:t>5</w:t>
            </w:r>
            <w:r>
              <w:rPr>
                <w:rFonts w:hint="eastAsia" w:ascii="仿宋_GB2312" w:hAnsi="仿宋_GB2312" w:eastAsia="仿宋_GB2312" w:cs="仿宋_GB2312"/>
                <w:b w:val="0"/>
                <w:bCs/>
                <w:color w:val="auto"/>
                <w:kern w:val="0"/>
                <w:sz w:val="24"/>
                <w:szCs w:val="24"/>
                <w:highlight w:val="none"/>
                <w:lang w:val="en-US" w:eastAsia="zh-CN"/>
              </w:rPr>
              <w:t>——特殊需求和困境儿童家庭教育精准帮扶项目</w:t>
            </w:r>
          </w:p>
        </w:tc>
      </w:tr>
      <w:tr w14:paraId="0622C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5" w:hRule="atLeast"/>
          <w:jc w:val="center"/>
        </w:trPr>
        <w:tc>
          <w:tcPr>
            <w:tcW w:w="8954" w:type="dxa"/>
            <w:tcBorders>
              <w:top w:val="single" w:color="auto" w:sz="4" w:space="0"/>
              <w:bottom w:val="single" w:color="auto" w:sz="4" w:space="0"/>
            </w:tcBorders>
            <w:vAlign w:val="top"/>
          </w:tcPr>
          <w:p w14:paraId="7ADADBB4">
            <w:pPr>
              <w:keepNext w:val="0"/>
              <w:keepLines w:val="0"/>
              <w:pageBreakBefore w:val="0"/>
              <w:widowControl w:val="0"/>
              <w:numPr>
                <w:ilvl w:val="0"/>
                <w:numId w:val="0"/>
              </w:numPr>
              <w:kinsoku/>
              <w:wordWrap/>
              <w:overflowPunct/>
              <w:topLinePunct w:val="0"/>
              <w:autoSpaceDE w:val="0"/>
              <w:autoSpaceDN/>
              <w:bidi w:val="0"/>
              <w:adjustRightInd/>
              <w:snapToGrid/>
              <w:spacing w:line="440" w:lineRule="exact"/>
              <w:ind w:firstLine="480" w:firstLineChars="200"/>
              <w:jc w:val="both"/>
              <w:textAlignment w:val="auto"/>
              <w:rPr>
                <w:rFonts w:hint="eastAsia" w:ascii="仿宋_GB2312" w:hAnsi="仿宋_GB2312" w:eastAsia="仿宋_GB2312" w:cs="仿宋_GB2312"/>
                <w:b w:val="0"/>
                <w:bCs/>
                <w:color w:val="auto"/>
                <w:kern w:val="0"/>
                <w:sz w:val="24"/>
                <w:szCs w:val="24"/>
                <w:highlight w:val="none"/>
                <w:lang w:val="en-US" w:eastAsia="zh-CN"/>
              </w:rPr>
            </w:pPr>
            <w:r>
              <w:rPr>
                <w:rFonts w:hint="eastAsia" w:ascii="Times New Roman" w:hAnsi="Times New Roman" w:eastAsia="仿宋_GB2312" w:cs="Times New Roman"/>
                <w:b w:val="0"/>
                <w:bCs/>
                <w:color w:val="auto"/>
                <w:sz w:val="24"/>
                <w:szCs w:val="24"/>
                <w:highlight w:val="none"/>
                <w:lang w:val="en-US" w:eastAsia="zh-CN"/>
              </w:rPr>
              <w:t>1.</w:t>
            </w:r>
            <w:r>
              <w:rPr>
                <w:rFonts w:hint="eastAsia" w:ascii="仿宋_GB2312" w:hAnsi="仿宋_GB2312" w:eastAsia="仿宋_GB2312" w:cs="仿宋_GB2312"/>
                <w:b w:val="0"/>
                <w:bCs/>
                <w:color w:val="auto"/>
                <w:kern w:val="0"/>
                <w:sz w:val="24"/>
                <w:szCs w:val="24"/>
                <w:highlight w:val="none"/>
                <w:lang w:val="en-US" w:eastAsia="zh-CN"/>
              </w:rPr>
              <w:t>精准识别建档。聚焦留守、困境、残疾儿童家庭等，建立一户一档需求台账，实现师市特殊群体家庭摸排建档全覆盖，定期更新其动态；</w:t>
            </w:r>
          </w:p>
          <w:p w14:paraId="05CCA2F9">
            <w:pPr>
              <w:keepNext w:val="0"/>
              <w:keepLines w:val="0"/>
              <w:pageBreakBefore w:val="0"/>
              <w:widowControl w:val="0"/>
              <w:numPr>
                <w:ilvl w:val="0"/>
                <w:numId w:val="0"/>
              </w:numPr>
              <w:kinsoku/>
              <w:wordWrap/>
              <w:overflowPunct/>
              <w:topLinePunct w:val="0"/>
              <w:autoSpaceDE w:val="0"/>
              <w:autoSpaceDN/>
              <w:bidi w:val="0"/>
              <w:adjustRightInd/>
              <w:snapToGrid/>
              <w:spacing w:line="440" w:lineRule="exact"/>
              <w:ind w:firstLine="480" w:firstLineChars="200"/>
              <w:jc w:val="both"/>
              <w:textAlignment w:val="auto"/>
              <w:rPr>
                <w:rFonts w:hint="eastAsia" w:ascii="仿宋_GB2312" w:hAnsi="仿宋_GB2312" w:eastAsia="仿宋_GB2312" w:cs="仿宋_GB2312"/>
                <w:b w:val="0"/>
                <w:bCs/>
                <w:color w:val="auto"/>
                <w:kern w:val="0"/>
                <w:sz w:val="24"/>
                <w:szCs w:val="24"/>
                <w:highlight w:val="none"/>
                <w:lang w:val="en-US" w:eastAsia="zh-CN"/>
              </w:rPr>
            </w:pPr>
            <w:r>
              <w:rPr>
                <w:rFonts w:hint="eastAsia" w:ascii="Times New Roman" w:hAnsi="Times New Roman" w:eastAsia="仿宋_GB2312" w:cs="Times New Roman"/>
                <w:b w:val="0"/>
                <w:bCs/>
                <w:color w:val="auto"/>
                <w:sz w:val="24"/>
                <w:szCs w:val="24"/>
                <w:highlight w:val="none"/>
                <w:lang w:val="en-US" w:eastAsia="zh-CN"/>
              </w:rPr>
              <w:t>2.</w:t>
            </w:r>
            <w:r>
              <w:rPr>
                <w:rFonts w:hint="eastAsia" w:ascii="仿宋_GB2312" w:hAnsi="仿宋_GB2312" w:eastAsia="仿宋_GB2312" w:cs="仿宋_GB2312"/>
                <w:b w:val="0"/>
                <w:bCs/>
                <w:color w:val="auto"/>
                <w:kern w:val="0"/>
                <w:sz w:val="24"/>
                <w:szCs w:val="24"/>
                <w:highlight w:val="none"/>
                <w:lang w:val="en-US" w:eastAsia="zh-CN"/>
              </w:rPr>
              <w:t>分类施策定制服务。针对需求定制心理疏导、生活帮扶、创业就业支持等个性化方案，如留守儿童家庭推进“爱心妈妈结对”、隔代教育专项培训；困境家庭提供免费课程与心理疏导；残疾儿童家庭定制融合教育指导方案等；</w:t>
            </w:r>
          </w:p>
          <w:p w14:paraId="77BF0817">
            <w:pPr>
              <w:keepNext w:val="0"/>
              <w:keepLines w:val="0"/>
              <w:pageBreakBefore w:val="0"/>
              <w:widowControl w:val="0"/>
              <w:numPr>
                <w:ilvl w:val="0"/>
                <w:numId w:val="0"/>
              </w:numPr>
              <w:kinsoku/>
              <w:wordWrap/>
              <w:overflowPunct/>
              <w:topLinePunct w:val="0"/>
              <w:autoSpaceDE w:val="0"/>
              <w:autoSpaceDN/>
              <w:bidi w:val="0"/>
              <w:adjustRightInd/>
              <w:snapToGrid/>
              <w:spacing w:line="440" w:lineRule="exact"/>
              <w:ind w:firstLine="480" w:firstLineChars="200"/>
              <w:jc w:val="both"/>
              <w:textAlignment w:val="auto"/>
              <w:rPr>
                <w:rFonts w:hint="default" w:ascii="Times New Roman" w:hAnsi="Times New Roman" w:eastAsia="仿宋" w:cs="Times New Roman"/>
                <w:b w:val="0"/>
                <w:bCs/>
                <w:color w:val="auto"/>
                <w:kern w:val="0"/>
                <w:sz w:val="24"/>
                <w:szCs w:val="24"/>
                <w:highlight w:val="none"/>
                <w:lang w:val="en-US" w:eastAsia="zh-CN"/>
              </w:rPr>
            </w:pPr>
            <w:r>
              <w:rPr>
                <w:rFonts w:hint="eastAsia" w:ascii="Times New Roman" w:hAnsi="Times New Roman" w:eastAsia="仿宋_GB2312" w:cs="Times New Roman"/>
                <w:b w:val="0"/>
                <w:bCs/>
                <w:color w:val="auto"/>
                <w:sz w:val="24"/>
                <w:szCs w:val="24"/>
                <w:highlight w:val="none"/>
                <w:lang w:val="en-US" w:eastAsia="zh-CN"/>
              </w:rPr>
              <w:t>3.</w:t>
            </w:r>
            <w:r>
              <w:rPr>
                <w:rFonts w:hint="eastAsia" w:ascii="仿宋_GB2312" w:hAnsi="仿宋_GB2312" w:eastAsia="仿宋_GB2312" w:cs="仿宋_GB2312"/>
                <w:b w:val="0"/>
                <w:bCs/>
                <w:color w:val="auto"/>
                <w:kern w:val="0"/>
                <w:sz w:val="24"/>
                <w:szCs w:val="24"/>
                <w:highlight w:val="none"/>
                <w:lang w:val="en-US" w:eastAsia="zh-CN"/>
              </w:rPr>
              <w:t>家长能力提升。组建专家智库，提供一对一个案辅导，每年度完成实现申报需求全覆盖。</w:t>
            </w:r>
          </w:p>
        </w:tc>
      </w:tr>
    </w:tbl>
    <w:p w14:paraId="361987F8">
      <w:pPr>
        <w:pStyle w:val="4"/>
        <w:bidi w:val="0"/>
        <w:rPr>
          <w:rFonts w:hint="eastAsia" w:ascii="黑体" w:hAnsi="黑体" w:eastAsia="黑体" w:cs="黑体"/>
          <w:color w:val="auto"/>
          <w:lang w:val="en-US" w:eastAsia="zh-CN"/>
        </w:rPr>
      </w:pPr>
      <w:r>
        <w:rPr>
          <w:rFonts w:hint="eastAsia" w:ascii="黑体" w:hAnsi="黑体" w:eastAsia="黑体" w:cs="黑体"/>
          <w:color w:val="auto"/>
          <w:lang w:val="en-US" w:eastAsia="zh-CN"/>
        </w:rPr>
        <w:t>第三节 建设家庭教育指导服务队伍专业化</w:t>
      </w:r>
      <w:bookmarkEnd w:id="34"/>
    </w:p>
    <w:bookmarkEnd w:id="35"/>
    <w:bookmarkEnd w:id="36"/>
    <w:bookmarkEnd w:id="37"/>
    <w:bookmarkEnd w:id="38"/>
    <w:p w14:paraId="6B11031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val="0"/>
          <w:color w:val="auto"/>
          <w:sz w:val="32"/>
          <w:szCs w:val="40"/>
          <w:highlight w:val="none"/>
          <w:lang w:val="en-US" w:eastAsia="zh-CN"/>
        </w:rPr>
      </w:pPr>
      <w:bookmarkStart w:id="39" w:name="_Toc1914589243"/>
      <w:bookmarkStart w:id="40" w:name="_Toc926062348"/>
      <w:bookmarkStart w:id="41" w:name="_Toc66938062"/>
      <w:r>
        <w:rPr>
          <w:rFonts w:hint="eastAsia" w:ascii="楷体_GB2312" w:hAnsi="楷体_GB2312" w:eastAsia="楷体_GB2312" w:cs="楷体_GB2312"/>
          <w:b/>
          <w:bCs w:val="0"/>
          <w:color w:val="auto"/>
          <w:sz w:val="32"/>
          <w:szCs w:val="40"/>
          <w:highlight w:val="none"/>
          <w:lang w:val="en-US" w:eastAsia="zh-CN"/>
        </w:rPr>
        <w:t>一、完善人员配备</w:t>
      </w:r>
    </w:p>
    <w:p w14:paraId="3529645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整合资源构建多元人才供给格局。</w:t>
      </w:r>
      <w:r>
        <w:rPr>
          <w:rFonts w:hint="eastAsia" w:ascii="仿宋_GB2312" w:hAnsi="仿宋_GB2312" w:eastAsia="仿宋_GB2312" w:cs="仿宋_GB2312"/>
          <w:b w:val="0"/>
          <w:bCs/>
          <w:color w:val="auto"/>
          <w:sz w:val="32"/>
          <w:szCs w:val="40"/>
          <w:highlight w:val="none"/>
          <w:lang w:val="en-US" w:eastAsia="zh-CN"/>
        </w:rPr>
        <w:t>坚持党管人才原则，立足师市家庭教育发展实际需求，打破部门壁垒、行业界限与层级分割，系统整合师市职能部门、团场、社区及社会服务机构等各类优质人力资源。</w:t>
      </w:r>
    </w:p>
    <w:p w14:paraId="187C1B2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多维抓手规范队伍建设管理。</w:t>
      </w:r>
      <w:r>
        <w:rPr>
          <w:rFonts w:hint="eastAsia" w:ascii="仿宋_GB2312" w:hAnsi="仿宋_GB2312" w:eastAsia="仿宋_GB2312" w:cs="仿宋_GB2312"/>
          <w:b w:val="0"/>
          <w:bCs/>
          <w:color w:val="auto"/>
          <w:sz w:val="32"/>
          <w:szCs w:val="40"/>
          <w:highlight w:val="none"/>
          <w:lang w:val="en-US" w:eastAsia="zh-CN"/>
        </w:rPr>
        <w:t>通过搭建“专职人员+兼职骨干+志愿者”三级队伍体系，多渠道招募人才，动态更新全域人才储备库，向团场及特殊家庭区域倾斜人员配备，明确从业人员职责与跨部门协作机制。</w:t>
      </w:r>
    </w:p>
    <w:p w14:paraId="09611F1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延伸服务网络筑牢人力保障基础。</w:t>
      </w:r>
      <w:r>
        <w:rPr>
          <w:rFonts w:hint="eastAsia" w:ascii="仿宋_GB2312" w:hAnsi="仿宋_GB2312" w:eastAsia="仿宋_GB2312" w:cs="仿宋_GB2312"/>
          <w:b w:val="0"/>
          <w:bCs/>
          <w:color w:val="auto"/>
          <w:sz w:val="32"/>
          <w:szCs w:val="40"/>
          <w:highlight w:val="none"/>
          <w:lang w:val="en-US" w:eastAsia="zh-CN"/>
        </w:rPr>
        <w:t>健全服务网络覆盖机制，推动服务资源向基层延伸、向特殊群体倾斜，以科学规范的队伍建设，为家庭教育指导服务高质量开展筑牢人力保障。</w:t>
      </w:r>
    </w:p>
    <w:p w14:paraId="179257D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val="0"/>
          <w:color w:val="auto"/>
          <w:sz w:val="32"/>
          <w:szCs w:val="40"/>
          <w:highlight w:val="none"/>
          <w:lang w:val="en-US" w:eastAsia="zh-CN"/>
        </w:rPr>
      </w:pPr>
      <w:r>
        <w:rPr>
          <w:rFonts w:hint="eastAsia" w:ascii="楷体_GB2312" w:hAnsi="楷体_GB2312" w:eastAsia="楷体_GB2312" w:cs="楷体_GB2312"/>
          <w:b/>
          <w:bCs w:val="0"/>
          <w:color w:val="auto"/>
          <w:sz w:val="32"/>
          <w:szCs w:val="40"/>
          <w:highlight w:val="none"/>
          <w:lang w:val="en-US" w:eastAsia="zh-CN"/>
        </w:rPr>
        <w:t>二、优化队伍结构</w:t>
      </w:r>
    </w:p>
    <w:p w14:paraId="6E35BFC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简体" w:cs="Times New Roman"/>
          <w:b w:val="0"/>
          <w:bCs/>
          <w:color w:val="auto"/>
          <w:sz w:val="32"/>
          <w:szCs w:val="40"/>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多方发力推进队伍结构提质。</w:t>
      </w:r>
      <w:r>
        <w:rPr>
          <w:rFonts w:hint="eastAsia" w:ascii="仿宋_GB2312" w:hAnsi="仿宋_GB2312" w:eastAsia="仿宋_GB2312" w:cs="仿宋_GB2312"/>
          <w:b w:val="0"/>
          <w:bCs/>
          <w:color w:val="auto"/>
          <w:sz w:val="32"/>
          <w:szCs w:val="40"/>
          <w:highlight w:val="none"/>
          <w:lang w:val="en-US" w:eastAsia="zh-CN"/>
        </w:rPr>
        <w:t>吸纳教育、心理、法律等多领域人才，弥补专业短板，提升指导专业性；搭建资深专家、中青年骨干与青年志愿者梯队，形成“传帮带”良性梯队；强化专职队伍核心支撑，规范兼职管理，形成“专职引领、兼职补充”的格局；培育“留得住、用得上”的本土化人才。</w:t>
      </w:r>
    </w:p>
    <w:p w14:paraId="2634B3E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val="0"/>
          <w:color w:val="auto"/>
          <w:sz w:val="32"/>
          <w:szCs w:val="40"/>
          <w:highlight w:val="none"/>
          <w:lang w:val="en-US" w:eastAsia="zh-CN"/>
        </w:rPr>
      </w:pPr>
      <w:r>
        <w:rPr>
          <w:rFonts w:hint="eastAsia" w:ascii="楷体_GB2312" w:hAnsi="楷体_GB2312" w:eastAsia="楷体_GB2312" w:cs="楷体_GB2312"/>
          <w:b/>
          <w:bCs w:val="0"/>
          <w:color w:val="auto"/>
          <w:sz w:val="32"/>
          <w:szCs w:val="40"/>
          <w:highlight w:val="none"/>
          <w:lang w:val="en-US" w:eastAsia="zh-CN"/>
        </w:rPr>
        <w:t>三、提升队伍质量</w:t>
      </w:r>
    </w:p>
    <w:p w14:paraId="24D69B9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构建长效机制推动队伍提质转型。</w:t>
      </w:r>
      <w:r>
        <w:rPr>
          <w:rFonts w:hint="eastAsia" w:ascii="仿宋_GB2312" w:hAnsi="仿宋_GB2312" w:eastAsia="仿宋_GB2312" w:cs="仿宋_GB2312"/>
          <w:b w:val="0"/>
          <w:bCs/>
          <w:color w:val="auto"/>
          <w:sz w:val="32"/>
          <w:szCs w:val="40"/>
          <w:highlight w:val="none"/>
          <w:lang w:val="en-US" w:eastAsia="zh-CN"/>
        </w:rPr>
        <w:t>以标准化建设为抓手，以全流程管理为核心，构建“准入有门槛、培训有体系、培育有载体、激励有力度、监督有实效”的队伍建设长效机制。通过系统化培育、规范化管理、多元化激励、常态化监督，推动队伍建设从“数量规模型”向“质量效能型”转变。同时，强化过程管控与结果导向，健全服务质量评估体系。</w:t>
      </w:r>
    </w:p>
    <w:p w14:paraId="0C1A549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多措并举夯实培训队伍能力基础。</w:t>
      </w:r>
      <w:r>
        <w:rPr>
          <w:rFonts w:hint="eastAsia" w:ascii="仿宋_GB2312" w:hAnsi="仿宋_GB2312" w:eastAsia="仿宋_GB2312" w:cs="仿宋_GB2312"/>
          <w:b w:val="0"/>
          <w:bCs/>
          <w:color w:val="auto"/>
          <w:sz w:val="32"/>
          <w:szCs w:val="40"/>
          <w:highlight w:val="none"/>
          <w:lang w:val="en-US" w:eastAsia="zh-CN"/>
        </w:rPr>
        <w:t>实施家庭教育指导服务队伍能力提升工程：以实战场景锤炼队伍实操创新能力；完善激励机制稳定队伍并激发服务热情；构建“培训-实践-考核-反馈”管理机制，动态优化队伍能力提升路径。</w:t>
      </w:r>
    </w:p>
    <w:p w14:paraId="2E9FFD2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bCs w:val="0"/>
          <w:color w:val="auto"/>
          <w:sz w:val="32"/>
          <w:szCs w:val="40"/>
          <w:highlight w:val="none"/>
          <w:lang w:val="en-US" w:eastAsia="zh-CN"/>
        </w:rPr>
        <w:t>精准培训赋能队伍专业能力升级。</w:t>
      </w:r>
      <w:r>
        <w:rPr>
          <w:rFonts w:hint="eastAsia" w:ascii="仿宋_GB2312" w:hAnsi="仿宋_GB2312" w:eastAsia="仿宋_GB2312" w:cs="仿宋_GB2312"/>
          <w:b w:val="0"/>
          <w:bCs/>
          <w:color w:val="auto"/>
          <w:sz w:val="32"/>
          <w:szCs w:val="40"/>
          <w:highlight w:val="none"/>
          <w:lang w:val="en-US" w:eastAsia="zh-CN"/>
        </w:rPr>
        <w:t>立足不同岗位人员的履职场景与能力短板，秉承“分类施策、精准滴灌”的培训理念，打破“一刀切”的培训模式。强化培训的针对性、实用性与可操作性。通过分层分类的系统化培训，推动培训从“全覆盖”向“精准赋能”升级。</w:t>
      </w:r>
    </w:p>
    <w:bookmarkEnd w:id="39"/>
    <w:bookmarkEnd w:id="40"/>
    <w:bookmarkEnd w:id="41"/>
    <w:tbl>
      <w:tblPr>
        <w:tblStyle w:val="15"/>
        <w:tblW w:w="8516" w:type="dxa"/>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autofit"/>
        <w:tblCellMar>
          <w:top w:w="0" w:type="dxa"/>
          <w:left w:w="108" w:type="dxa"/>
          <w:bottom w:w="0" w:type="dxa"/>
          <w:right w:w="108" w:type="dxa"/>
        </w:tblCellMar>
      </w:tblPr>
      <w:tblGrid>
        <w:gridCol w:w="8516"/>
      </w:tblGrid>
      <w:tr w14:paraId="58D0A703">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8516" w:type="dxa"/>
            <w:tcBorders>
              <w:tl2br w:val="nil"/>
              <w:tr2bl w:val="nil"/>
            </w:tcBorders>
            <w:vAlign w:val="top"/>
          </w:tcPr>
          <w:p w14:paraId="04BAA0C7">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jc w:val="center"/>
              <w:textAlignment w:val="auto"/>
              <w:rPr>
                <w:rFonts w:hint="eastAsia" w:ascii="仿宋" w:hAnsi="仿宋" w:eastAsia="仿宋" w:cs="仿宋"/>
                <w:b w:val="0"/>
                <w:bCs/>
                <w:color w:val="auto"/>
                <w:sz w:val="24"/>
                <w:szCs w:val="24"/>
                <w:highlight w:val="none"/>
                <w:lang w:val="en-US" w:eastAsia="zh-CN"/>
              </w:rPr>
            </w:pPr>
            <w:r>
              <w:rPr>
                <w:rFonts w:hint="eastAsia" w:ascii="仿宋_GB2312" w:hAnsi="仿宋_GB2312" w:eastAsia="仿宋_GB2312" w:cs="仿宋_GB2312"/>
                <w:b w:val="0"/>
                <w:bCs/>
                <w:color w:val="auto"/>
                <w:sz w:val="24"/>
                <w:szCs w:val="24"/>
                <w:highlight w:val="none"/>
                <w:lang w:val="en-US" w:eastAsia="zh-CN"/>
              </w:rPr>
              <w:t>专栏</w:t>
            </w:r>
            <w:r>
              <w:rPr>
                <w:rFonts w:hint="eastAsia" w:ascii="Times New Roman" w:hAnsi="Times New Roman" w:eastAsia="仿宋_GB2312" w:cs="Times New Roman"/>
                <w:b w:val="0"/>
                <w:bCs/>
                <w:color w:val="auto"/>
                <w:sz w:val="24"/>
                <w:szCs w:val="24"/>
                <w:highlight w:val="none"/>
                <w:lang w:val="en-US" w:eastAsia="zh-CN"/>
              </w:rPr>
              <w:t>6</w:t>
            </w:r>
            <w:r>
              <w:rPr>
                <w:rFonts w:hint="eastAsia" w:ascii="仿宋_GB2312" w:hAnsi="仿宋_GB2312" w:eastAsia="仿宋_GB2312" w:cs="仿宋_GB2312"/>
                <w:b w:val="0"/>
                <w:bCs/>
                <w:color w:val="auto"/>
                <w:kern w:val="0"/>
                <w:sz w:val="24"/>
                <w:szCs w:val="24"/>
                <w:highlight w:val="none"/>
                <w:lang w:val="en-US" w:eastAsia="zh-CN"/>
              </w:rPr>
              <w:t>——</w:t>
            </w:r>
            <w:r>
              <w:rPr>
                <w:rFonts w:hint="eastAsia" w:ascii="仿宋_GB2312" w:hAnsi="仿宋_GB2312" w:eastAsia="仿宋_GB2312" w:cs="仿宋_GB2312"/>
                <w:b w:val="0"/>
                <w:bCs/>
                <w:color w:val="auto"/>
                <w:sz w:val="24"/>
                <w:szCs w:val="24"/>
                <w:highlight w:val="none"/>
                <w:lang w:val="en-US" w:eastAsia="zh-CN"/>
              </w:rPr>
              <w:t>家庭教育指导人才培养与师资队伍建设</w:t>
            </w:r>
          </w:p>
        </w:tc>
      </w:tr>
      <w:tr w14:paraId="51F8896F">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4565" w:hRule="atLeast"/>
          <w:jc w:val="center"/>
        </w:trPr>
        <w:tc>
          <w:tcPr>
            <w:tcW w:w="8516" w:type="dxa"/>
            <w:tcBorders>
              <w:tl2br w:val="nil"/>
              <w:tr2bl w:val="nil"/>
            </w:tcBorders>
            <w:vAlign w:val="top"/>
          </w:tcPr>
          <w:p w14:paraId="27DB9825">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firstLine="480" w:firstLineChars="200"/>
              <w:jc w:val="both"/>
              <w:textAlignment w:val="auto"/>
              <w:rPr>
                <w:rFonts w:hint="eastAsia" w:ascii="仿宋_GB2312" w:hAnsi="仿宋_GB2312" w:eastAsia="仿宋_GB2312" w:cs="仿宋_GB2312"/>
                <w:b w:val="0"/>
                <w:bCs/>
                <w:color w:val="auto"/>
                <w:sz w:val="24"/>
                <w:szCs w:val="24"/>
                <w:highlight w:val="none"/>
                <w:lang w:val="en-US" w:eastAsia="zh-CN"/>
              </w:rPr>
            </w:pPr>
            <w:r>
              <w:rPr>
                <w:rFonts w:hint="default" w:ascii="Times New Roman" w:hAnsi="Times New Roman" w:eastAsia="仿宋_GB2312" w:cs="Times New Roman"/>
                <w:b w:val="0"/>
                <w:bCs/>
                <w:color w:val="auto"/>
                <w:sz w:val="24"/>
                <w:szCs w:val="24"/>
                <w:highlight w:val="none"/>
                <w:lang w:val="en-US" w:eastAsia="zh-CN"/>
              </w:rPr>
              <w:t>1.</w:t>
            </w:r>
            <w:r>
              <w:rPr>
                <w:rFonts w:hint="eastAsia" w:ascii="仿宋_GB2312" w:hAnsi="仿宋_GB2312" w:eastAsia="仿宋_GB2312" w:cs="仿宋_GB2312"/>
                <w:b w:val="0"/>
                <w:bCs/>
                <w:color w:val="auto"/>
                <w:sz w:val="24"/>
                <w:szCs w:val="24"/>
                <w:highlight w:val="none"/>
                <w:lang w:val="en-US" w:eastAsia="zh-CN"/>
              </w:rPr>
              <w:t>人员配备。社区家长学校负责人由社区“两委”中的妇联主席兼任，妇联执委、社区所在地派出所、司法所、志愿者等</w:t>
            </w:r>
            <w:r>
              <w:rPr>
                <w:rFonts w:hint="eastAsia" w:ascii="Times New Roman" w:hAnsi="Times New Roman" w:eastAsia="仿宋_GB2312" w:cs="Times New Roman"/>
                <w:b w:val="0"/>
                <w:bCs/>
                <w:color w:val="auto"/>
                <w:sz w:val="24"/>
                <w:szCs w:val="24"/>
                <w:highlight w:val="none"/>
                <w:lang w:val="en-US" w:eastAsia="zh-CN"/>
              </w:rPr>
              <w:t>7-</w:t>
            </w:r>
            <w:r>
              <w:rPr>
                <w:rFonts w:hint="default" w:ascii="Times New Roman" w:hAnsi="Times New Roman" w:eastAsia="仿宋_GB2312" w:cs="Times New Roman"/>
                <w:b w:val="0"/>
                <w:bCs/>
                <w:color w:val="auto"/>
                <w:sz w:val="24"/>
                <w:szCs w:val="24"/>
                <w:highlight w:val="none"/>
                <w:lang w:val="en-US" w:eastAsia="zh-CN"/>
              </w:rPr>
              <w:t>15</w:t>
            </w:r>
            <w:r>
              <w:rPr>
                <w:rFonts w:hint="eastAsia" w:ascii="仿宋_GB2312" w:hAnsi="仿宋_GB2312" w:eastAsia="仿宋_GB2312" w:cs="仿宋_GB2312"/>
                <w:b w:val="0"/>
                <w:bCs/>
                <w:color w:val="auto"/>
                <w:sz w:val="24"/>
                <w:szCs w:val="24"/>
                <w:highlight w:val="none"/>
                <w:lang w:val="en-US" w:eastAsia="zh-CN"/>
              </w:rPr>
              <w:t>人组成，联动</w:t>
            </w:r>
            <w:r>
              <w:rPr>
                <w:rFonts w:hint="default" w:ascii="Times New Roman" w:hAnsi="Times New Roman" w:eastAsia="仿宋_GB2312" w:cs="Times New Roman"/>
                <w:b w:val="0"/>
                <w:bCs/>
                <w:color w:val="auto"/>
                <w:sz w:val="24"/>
                <w:szCs w:val="24"/>
                <w:highlight w:val="none"/>
                <w:lang w:val="en-US" w:eastAsia="zh-CN"/>
              </w:rPr>
              <w:t>1</w:t>
            </w:r>
            <w:r>
              <w:rPr>
                <w:rFonts w:hint="eastAsia" w:ascii="仿宋_GB2312" w:hAnsi="仿宋_GB2312" w:eastAsia="仿宋_GB2312" w:cs="仿宋_GB2312"/>
                <w:b w:val="0"/>
                <w:bCs/>
                <w:color w:val="auto"/>
                <w:sz w:val="24"/>
                <w:szCs w:val="24"/>
                <w:highlight w:val="none"/>
                <w:lang w:val="en-US" w:eastAsia="zh-CN"/>
              </w:rPr>
              <w:t>名以上师市级家庭教育指导中心专家（含专职、兼职、社会化聘用）提供专业支撑；</w:t>
            </w:r>
          </w:p>
          <w:p w14:paraId="69F7C202">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firstLine="480" w:firstLineChars="200"/>
              <w:jc w:val="both"/>
              <w:textAlignment w:val="auto"/>
              <w:rPr>
                <w:rFonts w:hint="eastAsia" w:ascii="仿宋_GB2312" w:hAnsi="仿宋_GB2312" w:eastAsia="仿宋_GB2312" w:cs="仿宋_GB2312"/>
                <w:b w:val="0"/>
                <w:bCs/>
                <w:color w:val="auto"/>
                <w:sz w:val="24"/>
                <w:szCs w:val="24"/>
                <w:highlight w:val="none"/>
                <w:lang w:val="en-US" w:eastAsia="zh-CN"/>
              </w:rPr>
            </w:pPr>
            <w:r>
              <w:rPr>
                <w:rFonts w:hint="eastAsia" w:ascii="Times New Roman" w:hAnsi="Times New Roman" w:eastAsia="仿宋_GB2312" w:cs="Times New Roman"/>
                <w:b w:val="0"/>
                <w:bCs/>
                <w:color w:val="auto"/>
                <w:sz w:val="24"/>
                <w:szCs w:val="24"/>
                <w:highlight w:val="none"/>
                <w:lang w:val="en-US" w:eastAsia="zh-CN"/>
              </w:rPr>
              <w:t>2.</w:t>
            </w:r>
            <w:r>
              <w:rPr>
                <w:rFonts w:hint="eastAsia" w:ascii="仿宋_GB2312" w:hAnsi="仿宋_GB2312" w:eastAsia="仿宋_GB2312" w:cs="仿宋_GB2312"/>
                <w:b w:val="0"/>
                <w:bCs/>
                <w:color w:val="auto"/>
                <w:sz w:val="24"/>
                <w:szCs w:val="24"/>
                <w:highlight w:val="none"/>
                <w:lang w:val="en-US" w:eastAsia="zh-CN"/>
              </w:rPr>
              <w:t>组织师级家庭教育专题培训班。针对社区妇联干部、家长学校负责人开展周期性的进阶培训，</w:t>
            </w:r>
            <w:r>
              <w:rPr>
                <w:rFonts w:hint="default" w:ascii="Times New Roman" w:hAnsi="Times New Roman" w:eastAsia="仿宋_GB2312" w:cs="Times New Roman"/>
                <w:b w:val="0"/>
                <w:bCs/>
                <w:color w:val="auto"/>
                <w:sz w:val="24"/>
                <w:szCs w:val="24"/>
                <w:highlight w:val="none"/>
                <w:lang w:val="en-US" w:eastAsia="zh-CN"/>
              </w:rPr>
              <w:t>2027</w:t>
            </w:r>
            <w:r>
              <w:rPr>
                <w:rFonts w:hint="eastAsia" w:ascii="仿宋_GB2312" w:hAnsi="仿宋_GB2312" w:eastAsia="仿宋_GB2312" w:cs="仿宋_GB2312"/>
                <w:b w:val="0"/>
                <w:bCs/>
                <w:color w:val="auto"/>
                <w:sz w:val="24"/>
                <w:szCs w:val="24"/>
                <w:highlight w:val="none"/>
                <w:lang w:val="en-US" w:eastAsia="zh-CN"/>
              </w:rPr>
              <w:t>-</w:t>
            </w:r>
            <w:r>
              <w:rPr>
                <w:rFonts w:hint="default" w:ascii="Times New Roman" w:hAnsi="Times New Roman" w:eastAsia="仿宋_GB2312" w:cs="Times New Roman"/>
                <w:b w:val="0"/>
                <w:bCs/>
                <w:color w:val="auto"/>
                <w:sz w:val="24"/>
                <w:szCs w:val="24"/>
                <w:highlight w:val="none"/>
                <w:lang w:val="en-US" w:eastAsia="zh-CN"/>
              </w:rPr>
              <w:t>2029</w:t>
            </w:r>
            <w:r>
              <w:rPr>
                <w:rFonts w:hint="eastAsia" w:ascii="仿宋_GB2312" w:hAnsi="仿宋_GB2312" w:eastAsia="仿宋_GB2312" w:cs="仿宋_GB2312"/>
                <w:b w:val="0"/>
                <w:bCs/>
                <w:color w:val="auto"/>
                <w:sz w:val="24"/>
                <w:szCs w:val="24"/>
                <w:highlight w:val="none"/>
                <w:lang w:val="en-US" w:eastAsia="zh-CN"/>
              </w:rPr>
              <w:t>年度培训</w:t>
            </w:r>
            <w:r>
              <w:rPr>
                <w:rFonts w:hint="eastAsia" w:ascii="Times New Roman" w:hAnsi="Times New Roman" w:eastAsia="仿宋_GB2312" w:cs="Times New Roman"/>
                <w:b w:val="0"/>
                <w:bCs/>
                <w:color w:val="auto"/>
                <w:sz w:val="24"/>
                <w:szCs w:val="24"/>
                <w:highlight w:val="none"/>
                <w:lang w:val="en-US" w:eastAsia="zh-CN"/>
              </w:rPr>
              <w:t>1</w:t>
            </w:r>
            <w:r>
              <w:rPr>
                <w:rFonts w:hint="eastAsia" w:ascii="仿宋_GB2312" w:hAnsi="仿宋_GB2312" w:eastAsia="仿宋_GB2312" w:cs="仿宋_GB2312"/>
                <w:b w:val="0"/>
                <w:bCs/>
                <w:color w:val="auto"/>
                <w:sz w:val="24"/>
                <w:szCs w:val="24"/>
                <w:highlight w:val="none"/>
                <w:lang w:val="en-US" w:eastAsia="zh-CN"/>
              </w:rPr>
              <w:t>期，每期</w:t>
            </w:r>
            <w:r>
              <w:rPr>
                <w:rFonts w:hint="default" w:ascii="Times New Roman" w:hAnsi="Times New Roman" w:eastAsia="仿宋_GB2312" w:cs="Times New Roman"/>
                <w:b w:val="0"/>
                <w:bCs/>
                <w:color w:val="auto"/>
                <w:sz w:val="24"/>
                <w:szCs w:val="24"/>
                <w:highlight w:val="none"/>
                <w:lang w:val="en-US" w:eastAsia="zh-CN"/>
              </w:rPr>
              <w:t>30</w:t>
            </w:r>
            <w:r>
              <w:rPr>
                <w:rFonts w:hint="eastAsia" w:ascii="仿宋_GB2312" w:hAnsi="仿宋_GB2312" w:eastAsia="仿宋_GB2312" w:cs="仿宋_GB2312"/>
                <w:b w:val="0"/>
                <w:bCs/>
                <w:color w:val="auto"/>
                <w:sz w:val="24"/>
                <w:szCs w:val="24"/>
                <w:highlight w:val="none"/>
                <w:lang w:val="en-US" w:eastAsia="zh-CN"/>
              </w:rPr>
              <w:t>人；</w:t>
            </w:r>
          </w:p>
          <w:p w14:paraId="74B3163E">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firstLine="480" w:firstLineChars="200"/>
              <w:jc w:val="both"/>
              <w:textAlignment w:val="auto"/>
              <w:rPr>
                <w:rFonts w:hint="eastAsia" w:ascii="仿宋_GB2312" w:hAnsi="仿宋_GB2312" w:eastAsia="仿宋_GB2312" w:cs="仿宋_GB2312"/>
                <w:b w:val="0"/>
                <w:bCs/>
                <w:color w:val="auto"/>
                <w:sz w:val="24"/>
                <w:szCs w:val="24"/>
                <w:highlight w:val="none"/>
                <w:lang w:val="en-US" w:eastAsia="zh-CN"/>
              </w:rPr>
            </w:pPr>
            <w:r>
              <w:rPr>
                <w:rFonts w:hint="eastAsia" w:ascii="Times New Roman" w:hAnsi="Times New Roman" w:eastAsia="仿宋_GB2312" w:cs="Times New Roman"/>
                <w:b w:val="0"/>
                <w:bCs/>
                <w:color w:val="auto"/>
                <w:sz w:val="24"/>
                <w:szCs w:val="24"/>
                <w:highlight w:val="none"/>
                <w:lang w:val="en-US" w:eastAsia="zh-CN"/>
              </w:rPr>
              <w:t>3.</w:t>
            </w:r>
            <w:r>
              <w:rPr>
                <w:rFonts w:hint="eastAsia" w:ascii="仿宋_GB2312" w:hAnsi="仿宋_GB2312" w:eastAsia="仿宋_GB2312" w:cs="仿宋_GB2312"/>
                <w:b w:val="0"/>
                <w:bCs/>
                <w:color w:val="auto"/>
                <w:sz w:val="24"/>
                <w:szCs w:val="24"/>
                <w:highlight w:val="none"/>
                <w:lang w:val="en-US" w:eastAsia="zh-CN"/>
              </w:rPr>
              <w:t>培养骨干队伍。开展专项技能提升培训；鼓励学校从事家校共育工作的教师积极参加相关专项技能提升培训，年度开展专项培训不少于</w:t>
            </w:r>
            <w:r>
              <w:rPr>
                <w:rFonts w:hint="eastAsia" w:ascii="Times New Roman" w:hAnsi="Times New Roman" w:eastAsia="仿宋_GB2312" w:cs="Times New Roman"/>
                <w:b w:val="0"/>
                <w:bCs/>
                <w:color w:val="auto"/>
                <w:sz w:val="24"/>
                <w:szCs w:val="24"/>
                <w:highlight w:val="none"/>
                <w:lang w:val="en-US" w:eastAsia="zh-CN"/>
              </w:rPr>
              <w:t>2</w:t>
            </w:r>
            <w:r>
              <w:rPr>
                <w:rFonts w:hint="eastAsia" w:ascii="仿宋_GB2312" w:hAnsi="仿宋_GB2312" w:eastAsia="仿宋_GB2312" w:cs="仿宋_GB2312"/>
                <w:b w:val="0"/>
                <w:bCs/>
                <w:color w:val="auto"/>
                <w:sz w:val="24"/>
                <w:szCs w:val="24"/>
                <w:highlight w:val="none"/>
                <w:lang w:val="en-US" w:eastAsia="zh-CN"/>
              </w:rPr>
              <w:t>场次；</w:t>
            </w:r>
          </w:p>
          <w:p w14:paraId="4641F3CD">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firstLine="480" w:firstLineChars="200"/>
              <w:jc w:val="both"/>
              <w:textAlignment w:val="auto"/>
              <w:rPr>
                <w:rFonts w:hint="eastAsia" w:ascii="仿宋" w:hAnsi="仿宋" w:eastAsia="仿宋" w:cs="仿宋"/>
                <w:b w:val="0"/>
                <w:bCs/>
                <w:color w:val="auto"/>
                <w:sz w:val="24"/>
                <w:szCs w:val="24"/>
                <w:highlight w:val="none"/>
                <w:lang w:val="en-US" w:eastAsia="zh-CN"/>
              </w:rPr>
            </w:pPr>
            <w:r>
              <w:rPr>
                <w:rFonts w:hint="eastAsia" w:ascii="Times New Roman" w:hAnsi="Times New Roman" w:eastAsia="仿宋_GB2312" w:cs="Times New Roman"/>
                <w:b w:val="0"/>
                <w:bCs/>
                <w:color w:val="auto"/>
                <w:sz w:val="24"/>
                <w:szCs w:val="24"/>
                <w:highlight w:val="none"/>
                <w:lang w:val="en-US" w:eastAsia="zh-CN"/>
              </w:rPr>
              <w:t>4.</w:t>
            </w:r>
            <w:r>
              <w:rPr>
                <w:rFonts w:hint="eastAsia" w:ascii="仿宋_GB2312" w:hAnsi="仿宋_GB2312" w:eastAsia="仿宋_GB2312" w:cs="仿宋_GB2312"/>
                <w:b w:val="0"/>
                <w:bCs/>
                <w:color w:val="auto"/>
                <w:sz w:val="24"/>
                <w:szCs w:val="24"/>
                <w:highlight w:val="none"/>
                <w:lang w:val="en-US" w:eastAsia="zh-CN"/>
              </w:rPr>
              <w:t>建立家庭教育指导职业化通道。鼓励符合条件的人员参与认证培训与考核，“十五五”末，每个社区至少有</w:t>
            </w:r>
            <w:r>
              <w:rPr>
                <w:rFonts w:hint="eastAsia" w:ascii="Times New Roman" w:hAnsi="Times New Roman" w:eastAsia="仿宋_GB2312" w:cs="Times New Roman"/>
                <w:b w:val="0"/>
                <w:bCs/>
                <w:color w:val="auto"/>
                <w:sz w:val="24"/>
                <w:szCs w:val="24"/>
                <w:highlight w:val="none"/>
                <w:lang w:val="en-US" w:eastAsia="zh-CN"/>
              </w:rPr>
              <w:t>3</w:t>
            </w:r>
            <w:r>
              <w:rPr>
                <w:rFonts w:hint="eastAsia" w:ascii="仿宋_GB2312" w:hAnsi="仿宋_GB2312" w:eastAsia="仿宋_GB2312" w:cs="仿宋_GB2312"/>
                <w:b w:val="0"/>
                <w:bCs/>
                <w:color w:val="auto"/>
                <w:sz w:val="24"/>
                <w:szCs w:val="24"/>
                <w:highlight w:val="none"/>
                <w:lang w:val="en-US" w:eastAsia="zh-CN"/>
              </w:rPr>
              <w:t>名家庭教育指导师或心理咨询师、心理健康指导师等资质的专业人员。</w:t>
            </w:r>
          </w:p>
        </w:tc>
      </w:tr>
    </w:tbl>
    <w:p w14:paraId="23F3F49F">
      <w:pPr>
        <w:pStyle w:val="4"/>
        <w:bidi w:val="0"/>
        <w:jc w:val="center"/>
        <w:rPr>
          <w:rFonts w:hint="eastAsia" w:ascii="黑体" w:hAnsi="黑体" w:eastAsia="黑体" w:cs="黑体"/>
          <w:color w:val="auto"/>
          <w:lang w:val="en-US" w:eastAsia="zh-CN"/>
        </w:rPr>
      </w:pPr>
      <w:r>
        <w:rPr>
          <w:rFonts w:hint="eastAsia" w:ascii="黑体" w:hAnsi="黑体" w:eastAsia="黑体" w:cs="黑体"/>
          <w:b w:val="0"/>
          <w:bCs/>
          <w:color w:val="auto"/>
          <w:szCs w:val="32"/>
          <w:highlight w:val="none"/>
          <w:lang w:val="en-US" w:eastAsia="zh-CN"/>
        </w:rPr>
        <w:fldChar w:fldCharType="begin"/>
      </w:r>
      <w:r>
        <w:rPr>
          <w:rFonts w:hint="eastAsia" w:ascii="黑体" w:hAnsi="黑体" w:eastAsia="黑体" w:cs="黑体"/>
          <w:b w:val="0"/>
          <w:bCs/>
          <w:color w:val="auto"/>
          <w:szCs w:val="32"/>
          <w:highlight w:val="none"/>
          <w:lang w:val="en-US" w:eastAsia="zh-CN"/>
        </w:rPr>
        <w:instrText xml:space="preserve">ADDIN CNKISM.UserStyle</w:instrText>
      </w:r>
      <w:r>
        <w:rPr>
          <w:rFonts w:hint="eastAsia" w:ascii="黑体" w:hAnsi="黑体" w:eastAsia="黑体" w:cs="黑体"/>
          <w:b w:val="0"/>
          <w:bCs/>
          <w:color w:val="auto"/>
          <w:szCs w:val="32"/>
          <w:highlight w:val="none"/>
          <w:lang w:val="en-US" w:eastAsia="zh-CN"/>
        </w:rPr>
        <w:fldChar w:fldCharType="separate"/>
      </w:r>
      <w:r>
        <w:rPr>
          <w:rFonts w:hint="eastAsia" w:ascii="黑体" w:hAnsi="黑体" w:eastAsia="黑体" w:cs="黑体"/>
          <w:b w:val="0"/>
          <w:bCs/>
          <w:color w:val="auto"/>
          <w:szCs w:val="32"/>
          <w:highlight w:val="none"/>
          <w:lang w:val="en-US" w:eastAsia="zh-CN"/>
        </w:rPr>
        <w:fldChar w:fldCharType="end"/>
      </w:r>
      <w:r>
        <w:rPr>
          <w:rFonts w:hint="eastAsia" w:ascii="黑体" w:hAnsi="黑体" w:eastAsia="黑体" w:cs="黑体"/>
          <w:color w:val="auto"/>
          <w:lang w:val="en-US" w:eastAsia="zh-CN"/>
        </w:rPr>
        <w:t>第四节 完善制度化的家庭教育指导服务体系</w:t>
      </w:r>
      <w:bookmarkEnd w:id="29"/>
      <w:bookmarkEnd w:id="30"/>
      <w:bookmarkEnd w:id="31"/>
      <w:bookmarkEnd w:id="33"/>
    </w:p>
    <w:p w14:paraId="2C9507C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kern w:val="2"/>
          <w:sz w:val="32"/>
          <w:szCs w:val="40"/>
          <w:highlight w:val="none"/>
          <w:lang w:val="en-US" w:eastAsia="zh-CN" w:bidi="ar-SA"/>
        </w:rPr>
      </w:pPr>
      <w:r>
        <w:rPr>
          <w:rFonts w:hint="eastAsia" w:ascii="仿宋_GB2312" w:hAnsi="仿宋_GB2312" w:eastAsia="仿宋_GB2312" w:cs="仿宋_GB2312"/>
          <w:b/>
          <w:bCs w:val="0"/>
          <w:color w:val="auto"/>
          <w:sz w:val="32"/>
          <w:szCs w:val="40"/>
          <w:highlight w:val="none"/>
          <w:lang w:val="en-US" w:eastAsia="zh-CN"/>
        </w:rPr>
        <w:t>深化家庭教育法治建设。</w:t>
      </w:r>
      <w:r>
        <w:rPr>
          <w:rFonts w:hint="eastAsia" w:ascii="仿宋_GB2312" w:hAnsi="仿宋_GB2312" w:eastAsia="仿宋_GB2312" w:cs="仿宋_GB2312"/>
          <w:b w:val="0"/>
          <w:bCs/>
          <w:color w:val="auto"/>
          <w:kern w:val="2"/>
          <w:sz w:val="32"/>
          <w:szCs w:val="40"/>
          <w:highlight w:val="none"/>
          <w:lang w:val="en-US" w:eastAsia="zh-CN" w:bidi="ar-SA"/>
        </w:rPr>
        <w:t>将法治教育融入家风建设全过程，构建法治化协同育人格局。指导社区家长学校聘请法治辅导员，紧扣家庭教育宣传周、法制宣传日等节点，多形式开展家庭教育相关法律法规社会宣传，加强法律实施监督，提升家长法治意识与教育能力。通过线上便捷普法、线下沉浸式普法、重点群体精准普法、部门联动合力普法、案例警示针对性普法、家校社协同普法六大行动，织密普法防线，引导家长强化主体责任意识，依法履行家庭教育职责。</w:t>
      </w:r>
    </w:p>
    <w:p w14:paraId="7A4AEB5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kern w:val="2"/>
          <w:sz w:val="32"/>
          <w:szCs w:val="40"/>
          <w:highlight w:val="none"/>
          <w:lang w:val="en-US" w:eastAsia="zh-CN" w:bidi="ar-SA"/>
        </w:rPr>
      </w:pPr>
      <w:r>
        <w:rPr>
          <w:rFonts w:hint="eastAsia" w:ascii="仿宋_GB2312" w:hAnsi="仿宋_GB2312" w:eastAsia="仿宋_GB2312" w:cs="仿宋_GB2312"/>
          <w:b/>
          <w:bCs w:val="0"/>
          <w:color w:val="auto"/>
          <w:sz w:val="32"/>
          <w:szCs w:val="40"/>
          <w:highlight w:val="none"/>
          <w:lang w:val="en-US" w:eastAsia="zh-CN"/>
        </w:rPr>
        <w:t>优化政策支撑与帮扶措施。</w:t>
      </w:r>
      <w:r>
        <w:rPr>
          <w:rFonts w:hint="eastAsia" w:ascii="仿宋_GB2312" w:hAnsi="仿宋_GB2312" w:eastAsia="仿宋_GB2312" w:cs="仿宋_GB2312"/>
          <w:b w:val="0"/>
          <w:bCs/>
          <w:color w:val="auto"/>
          <w:kern w:val="2"/>
          <w:sz w:val="32"/>
          <w:szCs w:val="40"/>
          <w:highlight w:val="none"/>
          <w:lang w:val="en-US" w:eastAsia="zh-CN" w:bidi="ar-SA"/>
        </w:rPr>
        <w:t>立足师市家庭教育发展实际，聚焦家长急难愁盼及重点难点问题，将家庭教育指导服务融入公共服务、文化建设等民生体系。推动出台家庭教育指导服务中心建设方案，制定清晰的工作任务清单与科学评估规范，从顶层设计层面筑牢服务保障基础。建立健全精准帮扶政策，针对特殊家庭、困境儿童家庭等差异化需求，细化帮扶措施、明确责任主体、规范服务流程，为家长提供个性化指导支持。</w:t>
      </w:r>
    </w:p>
    <w:bookmarkEnd w:id="32"/>
    <w:p w14:paraId="0359A8A9">
      <w:pPr>
        <w:pStyle w:val="4"/>
        <w:bidi w:val="0"/>
        <w:rPr>
          <w:rFonts w:hint="eastAsia" w:ascii="黑体" w:hAnsi="黑体" w:eastAsia="黑体" w:cs="黑体"/>
          <w:color w:val="auto"/>
          <w:lang w:val="en-US" w:eastAsia="zh-CN"/>
        </w:rPr>
      </w:pPr>
      <w:bookmarkStart w:id="42" w:name="_Toc22890"/>
      <w:bookmarkStart w:id="43" w:name="_Toc90434119"/>
      <w:bookmarkStart w:id="44" w:name="_Toc147875815"/>
      <w:bookmarkStart w:id="45" w:name="_Toc1032279357"/>
      <w:r>
        <w:rPr>
          <w:rFonts w:hint="eastAsia" w:ascii="黑体" w:hAnsi="黑体" w:eastAsia="黑体" w:cs="黑体"/>
          <w:color w:val="auto"/>
          <w:lang w:val="en-US" w:eastAsia="zh-CN"/>
        </w:rPr>
        <w:t>第五节 构建家庭教育数字化服务系统</w:t>
      </w:r>
      <w:bookmarkEnd w:id="42"/>
    </w:p>
    <w:p w14:paraId="14A3676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kern w:val="2"/>
          <w:sz w:val="32"/>
          <w:szCs w:val="40"/>
          <w:highlight w:val="none"/>
          <w:lang w:val="en-US" w:eastAsia="zh-CN" w:bidi="ar-SA"/>
        </w:rPr>
      </w:pPr>
      <w:r>
        <w:rPr>
          <w:rFonts w:hint="eastAsia" w:ascii="仿宋_GB2312" w:hAnsi="仿宋_GB2312" w:eastAsia="仿宋_GB2312" w:cs="仿宋_GB2312"/>
          <w:b/>
          <w:bCs w:val="0"/>
          <w:color w:val="auto"/>
          <w:sz w:val="32"/>
          <w:szCs w:val="40"/>
          <w:highlight w:val="none"/>
          <w:lang w:val="en-US" w:eastAsia="zh-CN"/>
        </w:rPr>
        <w:t>拓展家庭教育数字平台。</w:t>
      </w:r>
      <w:r>
        <w:rPr>
          <w:rFonts w:hint="eastAsia" w:ascii="仿宋_GB2312" w:hAnsi="仿宋_GB2312" w:eastAsia="仿宋_GB2312" w:cs="仿宋_GB2312"/>
          <w:b w:val="0"/>
          <w:bCs/>
          <w:color w:val="auto"/>
          <w:kern w:val="2"/>
          <w:sz w:val="32"/>
          <w:szCs w:val="40"/>
          <w:highlight w:val="none"/>
          <w:lang w:val="en-US" w:eastAsia="zh-CN" w:bidi="ar-SA"/>
        </w:rPr>
        <w:t>聚焦家庭教育数字化服务升级，建成集学生心理健康监测、家校社协同管理、服务资源整合、数据分析决策于一体的新星家教数字平台，实现家庭教育指导服务“线上有阵地、数据可追溯、服务更精准、管理更高效”。联合专业团队设计清晰导航界面，整合高校专家、一线名师等多领域讲师资源，方便用户高效获取服务。依托</w:t>
      </w:r>
      <w:r>
        <w:rPr>
          <w:rFonts w:hint="eastAsia" w:ascii="仿宋_GB2312" w:hAnsi="仿宋_GB2312" w:eastAsia="仿宋_GB2312" w:cs="仿宋_GB2312"/>
          <w:b/>
          <w:bCs w:val="0"/>
          <w:color w:val="auto"/>
          <w:kern w:val="2"/>
          <w:sz w:val="32"/>
          <w:szCs w:val="40"/>
          <w:highlight w:val="none"/>
          <w:lang w:val="en-US" w:eastAsia="zh-CN" w:bidi="ar-SA"/>
        </w:rPr>
        <w:t>AI</w:t>
      </w:r>
      <w:r>
        <w:rPr>
          <w:rFonts w:hint="eastAsia" w:ascii="仿宋_GB2312" w:hAnsi="仿宋_GB2312" w:eastAsia="仿宋_GB2312" w:cs="仿宋_GB2312"/>
          <w:b w:val="0"/>
          <w:bCs/>
          <w:color w:val="auto"/>
          <w:kern w:val="2"/>
          <w:sz w:val="32"/>
          <w:szCs w:val="40"/>
          <w:highlight w:val="none"/>
          <w:lang w:val="en-US" w:eastAsia="zh-CN" w:bidi="ar-SA"/>
        </w:rPr>
        <w:t>算法与大数据技术，整合其专属家庭教育资料库，开发家庭教育现状评估功能，精准分析需求，生成个性化育儿方案；打通与学校、社区平台的数据互联，建立资源共享与协同育人机制。同步筑牢数据安全防线，通过加密存储、个人信息保护认证保障用户隐私。整合微信、抖音等主流渠道，拓展短视频、直播等传播形式，组建专业服务团队，定期开展线上公益讲座、案例研讨等互动活动，实现“屏对屏”即时解答育儿痛点，打破时空限制，推动优质指导服务直达千家万户。</w:t>
      </w:r>
    </w:p>
    <w:tbl>
      <w:tblPr>
        <w:tblStyle w:val="15"/>
        <w:tblW w:w="8516" w:type="dxa"/>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autofit"/>
        <w:tblCellMar>
          <w:top w:w="0" w:type="dxa"/>
          <w:left w:w="108" w:type="dxa"/>
          <w:bottom w:w="0" w:type="dxa"/>
          <w:right w:w="108" w:type="dxa"/>
        </w:tblCellMar>
      </w:tblPr>
      <w:tblGrid>
        <w:gridCol w:w="8516"/>
      </w:tblGrid>
      <w:tr w14:paraId="280653DC">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0" w:hRule="atLeast"/>
          <w:jc w:val="center"/>
        </w:trPr>
        <w:tc>
          <w:tcPr>
            <w:tcW w:w="8516" w:type="dxa"/>
            <w:tcBorders>
              <w:tl2br w:val="nil"/>
              <w:tr2bl w:val="nil"/>
            </w:tcBorders>
            <w:vAlign w:val="top"/>
          </w:tcPr>
          <w:p w14:paraId="5FF69DAB">
            <w:pPr>
              <w:keepNext w:val="0"/>
              <w:keepLines w:val="0"/>
              <w:pageBreakBefore w:val="0"/>
              <w:widowControl w:val="0"/>
              <w:numPr>
                <w:ilvl w:val="0"/>
                <w:numId w:val="0"/>
              </w:numPr>
              <w:kinsoku/>
              <w:wordWrap/>
              <w:overflowPunct/>
              <w:topLinePunct w:val="0"/>
              <w:autoSpaceDE w:val="0"/>
              <w:autoSpaceDN/>
              <w:bidi w:val="0"/>
              <w:adjustRightInd/>
              <w:snapToGrid/>
              <w:spacing w:line="440" w:lineRule="exact"/>
              <w:ind w:firstLine="480" w:firstLineChars="200"/>
              <w:jc w:val="center"/>
              <w:textAlignment w:val="auto"/>
              <w:rPr>
                <w:rFonts w:hint="eastAsia" w:ascii="Times New Roman" w:hAnsi="Times New Roman" w:eastAsia="仿宋" w:cs="Times New Roman"/>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专栏</w:t>
            </w:r>
            <w:r>
              <w:rPr>
                <w:rFonts w:hint="default" w:ascii="Times New Roman" w:hAnsi="Times New Roman" w:eastAsia="仿宋_GB2312" w:cs="Times New Roman"/>
                <w:b w:val="0"/>
                <w:bCs/>
                <w:color w:val="auto"/>
                <w:kern w:val="0"/>
                <w:sz w:val="24"/>
                <w:szCs w:val="24"/>
                <w:highlight w:val="none"/>
                <w:lang w:val="en-US" w:eastAsia="zh-CN"/>
              </w:rPr>
              <w:t>7</w:t>
            </w:r>
            <w:r>
              <w:rPr>
                <w:rFonts w:hint="eastAsia" w:ascii="仿宋_GB2312" w:hAnsi="仿宋_GB2312" w:eastAsia="仿宋_GB2312" w:cs="仿宋_GB2312"/>
                <w:b w:val="0"/>
                <w:bCs/>
                <w:color w:val="auto"/>
                <w:kern w:val="0"/>
                <w:sz w:val="24"/>
                <w:szCs w:val="24"/>
                <w:highlight w:val="none"/>
                <w:lang w:val="en-US" w:eastAsia="zh-CN"/>
              </w:rPr>
              <w:t>——新星智慧家教数字平台建设</w:t>
            </w:r>
          </w:p>
        </w:tc>
      </w:tr>
      <w:tr w14:paraId="56658A4A">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5490" w:hRule="atLeast"/>
          <w:jc w:val="center"/>
        </w:trPr>
        <w:tc>
          <w:tcPr>
            <w:tcW w:w="8516" w:type="dxa"/>
            <w:tcBorders>
              <w:tl2br w:val="nil"/>
              <w:tr2bl w:val="nil"/>
            </w:tcBorders>
            <w:vAlign w:val="top"/>
          </w:tcPr>
          <w:p w14:paraId="71D616E9">
            <w:pPr>
              <w:keepNext w:val="0"/>
              <w:keepLines w:val="0"/>
              <w:pageBreakBefore w:val="0"/>
              <w:widowControl w:val="0"/>
              <w:numPr>
                <w:ilvl w:val="0"/>
                <w:numId w:val="0"/>
              </w:numPr>
              <w:kinsoku/>
              <w:wordWrap/>
              <w:overflowPunct/>
              <w:topLinePunct w:val="0"/>
              <w:autoSpaceDE w:val="0"/>
              <w:autoSpaceDN/>
              <w:bidi w:val="0"/>
              <w:adjustRightInd/>
              <w:snapToGrid/>
              <w:spacing w:line="440" w:lineRule="exact"/>
              <w:ind w:firstLine="480" w:firstLineChars="200"/>
              <w:jc w:val="both"/>
              <w:textAlignment w:val="auto"/>
              <w:rPr>
                <w:rFonts w:hint="eastAsia" w:ascii="仿宋_GB2312" w:hAnsi="仿宋_GB2312" w:eastAsia="仿宋_GB2312" w:cs="仿宋_GB2312"/>
                <w:b w:val="0"/>
                <w:bCs/>
                <w:color w:val="auto"/>
                <w:kern w:val="0"/>
                <w:sz w:val="24"/>
                <w:szCs w:val="24"/>
                <w:highlight w:val="none"/>
                <w:lang w:val="en-US" w:eastAsia="zh-CN"/>
              </w:rPr>
            </w:pPr>
            <w:r>
              <w:rPr>
                <w:rFonts w:hint="eastAsia" w:ascii="Times New Roman" w:hAnsi="Times New Roman" w:eastAsia="仿宋_GB2312" w:cs="Times New Roman"/>
                <w:b w:val="0"/>
                <w:bCs/>
                <w:color w:val="auto"/>
                <w:kern w:val="0"/>
                <w:sz w:val="24"/>
                <w:szCs w:val="24"/>
                <w:highlight w:val="none"/>
                <w:lang w:val="en-US" w:eastAsia="zh-CN"/>
              </w:rPr>
              <w:t>1.</w:t>
            </w:r>
            <w:r>
              <w:rPr>
                <w:rFonts w:hint="eastAsia" w:ascii="仿宋_GB2312" w:hAnsi="仿宋_GB2312" w:eastAsia="仿宋_GB2312" w:cs="仿宋_GB2312"/>
                <w:b w:val="0"/>
                <w:bCs/>
                <w:color w:val="auto"/>
                <w:kern w:val="0"/>
                <w:sz w:val="24"/>
                <w:szCs w:val="24"/>
                <w:highlight w:val="none"/>
                <w:lang w:val="en-US" w:eastAsia="zh-CN"/>
              </w:rPr>
              <w:t>未成年人心理健康素养测评系统。搭建线上测评模块，通过标准化问卷、自动评判与智能分析，精准筛查存在心理困扰、行为偏差的未成年人，为社区家长学校与学校开展早期干预、精准辅导提供依据。数据平台与学校“家长学校”建立数据共建共享机制，支持分学段（小学、初中、高中）差异化测评，测评结果以可视化图表呈现，自动生成红黄绿三色预警；</w:t>
            </w:r>
          </w:p>
          <w:p w14:paraId="4506A548">
            <w:pPr>
              <w:keepNext w:val="0"/>
              <w:keepLines w:val="0"/>
              <w:pageBreakBefore w:val="0"/>
              <w:widowControl w:val="0"/>
              <w:numPr>
                <w:ilvl w:val="0"/>
                <w:numId w:val="0"/>
              </w:numPr>
              <w:kinsoku/>
              <w:wordWrap/>
              <w:overflowPunct/>
              <w:topLinePunct w:val="0"/>
              <w:autoSpaceDE w:val="0"/>
              <w:autoSpaceDN/>
              <w:bidi w:val="0"/>
              <w:adjustRightInd/>
              <w:snapToGrid/>
              <w:spacing w:line="440" w:lineRule="exact"/>
              <w:ind w:firstLine="480" w:firstLineChars="200"/>
              <w:jc w:val="both"/>
              <w:textAlignment w:val="auto"/>
              <w:rPr>
                <w:rFonts w:hint="eastAsia" w:ascii="仿宋_GB2312" w:hAnsi="仿宋_GB2312" w:eastAsia="仿宋_GB2312" w:cs="仿宋_GB2312"/>
                <w:b w:val="0"/>
                <w:bCs/>
                <w:color w:val="auto"/>
                <w:kern w:val="0"/>
                <w:sz w:val="24"/>
                <w:szCs w:val="24"/>
                <w:highlight w:val="none"/>
                <w:lang w:val="en-US" w:eastAsia="zh-CN"/>
              </w:rPr>
            </w:pPr>
            <w:r>
              <w:rPr>
                <w:rFonts w:hint="eastAsia" w:ascii="Times New Roman" w:hAnsi="Times New Roman" w:eastAsia="仿宋_GB2312" w:cs="Times New Roman"/>
                <w:b w:val="0"/>
                <w:bCs/>
                <w:color w:val="auto"/>
                <w:kern w:val="0"/>
                <w:sz w:val="24"/>
                <w:szCs w:val="24"/>
                <w:highlight w:val="none"/>
                <w:lang w:val="en-US" w:eastAsia="zh-CN"/>
              </w:rPr>
              <w:t>2.</w:t>
            </w:r>
            <w:r>
              <w:rPr>
                <w:rFonts w:hint="eastAsia" w:ascii="仿宋_GB2312" w:hAnsi="仿宋_GB2312" w:eastAsia="仿宋_GB2312" w:cs="仿宋_GB2312"/>
                <w:b w:val="0"/>
                <w:bCs/>
                <w:color w:val="auto"/>
                <w:kern w:val="0"/>
                <w:sz w:val="24"/>
                <w:szCs w:val="24"/>
                <w:highlight w:val="none"/>
                <w:lang w:val="en-US" w:eastAsia="zh-CN"/>
              </w:rPr>
              <w:t>家庭教育服务智能化流程管理系统。实现社区家长学校工作全流程线上化、智能化，支持活动发布、在线报名、满意度评价、服务记录等环节自动留痕。支持工作实时跟踪、在线指导、过程留痕与数据归集，提升管理效率；</w:t>
            </w:r>
          </w:p>
          <w:p w14:paraId="3D9071CE">
            <w:pPr>
              <w:keepNext w:val="0"/>
              <w:keepLines w:val="0"/>
              <w:pageBreakBefore w:val="0"/>
              <w:widowControl w:val="0"/>
              <w:numPr>
                <w:ilvl w:val="0"/>
                <w:numId w:val="0"/>
              </w:numPr>
              <w:kinsoku/>
              <w:wordWrap/>
              <w:overflowPunct/>
              <w:topLinePunct w:val="0"/>
              <w:autoSpaceDE w:val="0"/>
              <w:autoSpaceDN/>
              <w:bidi w:val="0"/>
              <w:adjustRightInd/>
              <w:snapToGrid/>
              <w:spacing w:line="440" w:lineRule="exact"/>
              <w:ind w:firstLine="480" w:firstLineChars="200"/>
              <w:jc w:val="both"/>
              <w:textAlignment w:val="auto"/>
              <w:rPr>
                <w:rFonts w:hint="eastAsia" w:ascii="Times New Roman" w:hAnsi="Times New Roman" w:eastAsia="仿宋" w:cs="Times New Roman"/>
                <w:b w:val="0"/>
                <w:bCs/>
                <w:color w:val="auto"/>
                <w:kern w:val="0"/>
                <w:sz w:val="24"/>
                <w:szCs w:val="24"/>
                <w:highlight w:val="none"/>
                <w:lang w:val="en-US" w:eastAsia="zh-CN"/>
              </w:rPr>
            </w:pPr>
            <w:r>
              <w:rPr>
                <w:rFonts w:hint="eastAsia" w:ascii="Times New Roman" w:hAnsi="Times New Roman" w:eastAsia="仿宋_GB2312" w:cs="Times New Roman"/>
                <w:b w:val="0"/>
                <w:bCs/>
                <w:color w:val="auto"/>
                <w:kern w:val="0"/>
                <w:sz w:val="24"/>
                <w:szCs w:val="24"/>
                <w:highlight w:val="none"/>
                <w:lang w:val="en-US" w:eastAsia="zh-CN"/>
              </w:rPr>
              <w:t>3.</w:t>
            </w:r>
            <w:r>
              <w:rPr>
                <w:rFonts w:hint="eastAsia" w:ascii="仿宋_GB2312" w:hAnsi="仿宋_GB2312" w:eastAsia="仿宋_GB2312" w:cs="仿宋_GB2312"/>
                <w:b w:val="0"/>
                <w:bCs/>
                <w:color w:val="auto"/>
                <w:kern w:val="0"/>
                <w:sz w:val="24"/>
                <w:szCs w:val="24"/>
                <w:highlight w:val="none"/>
                <w:lang w:val="en-US" w:eastAsia="zh-CN"/>
              </w:rPr>
              <w:t>多维度统计分析功能。对测评数据、家长学校参与数据、活动数据、服务数据进行自动汇总、多维度统计与可视化呈现。支持按团场、社区、学校、学段、家庭类型等维度进行交叉分析，生成周报、月报、年报。支撑工作复盘、决策优化与成果上报，为师市家庭教育评估提供数据依据。</w:t>
            </w:r>
          </w:p>
        </w:tc>
      </w:tr>
    </w:tbl>
    <w:p w14:paraId="2EE3DFA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kern w:val="2"/>
          <w:sz w:val="32"/>
          <w:szCs w:val="40"/>
          <w:highlight w:val="none"/>
          <w:lang w:val="en-US" w:eastAsia="zh-CN" w:bidi="ar-SA"/>
        </w:rPr>
      </w:pPr>
      <w:r>
        <w:rPr>
          <w:rFonts w:hint="eastAsia" w:ascii="仿宋_GB2312" w:hAnsi="仿宋_GB2312" w:eastAsia="仿宋_GB2312" w:cs="仿宋_GB2312"/>
          <w:b/>
          <w:bCs w:val="0"/>
          <w:color w:val="auto"/>
          <w:sz w:val="32"/>
          <w:szCs w:val="40"/>
          <w:highlight w:val="none"/>
          <w:lang w:val="en-US" w:eastAsia="zh-CN"/>
        </w:rPr>
        <w:t>建立家庭教育数字资源。</w:t>
      </w:r>
      <w:r>
        <w:rPr>
          <w:rFonts w:hint="eastAsia" w:ascii="仿宋_GB2312" w:hAnsi="仿宋_GB2312" w:eastAsia="仿宋_GB2312" w:cs="仿宋_GB2312"/>
          <w:b w:val="0"/>
          <w:bCs/>
          <w:color w:val="auto"/>
          <w:kern w:val="2"/>
          <w:sz w:val="32"/>
          <w:szCs w:val="40"/>
          <w:highlight w:val="none"/>
          <w:lang w:val="en-US" w:eastAsia="zh-CN" w:bidi="ar-SA"/>
        </w:rPr>
        <w:t>遵循“标准引领、资源聚合、本土赋能、新星特色”原则，构建“课程、案例、活动方案”三大核心板块，形成通用与本土兼具的资源矩阵。深度挖掘兵团军垦文化、红色家风等地域特色，开发本土化资源。组建专家审核团队严格把关资源质量，建立动态更新与跨部门共享机制，优化检索与智能推荐功能，方便家长快速获取精准资源。</w:t>
      </w:r>
    </w:p>
    <w:p w14:paraId="6093011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kern w:val="2"/>
          <w:sz w:val="32"/>
          <w:szCs w:val="40"/>
          <w:highlight w:val="none"/>
          <w:lang w:val="en-US" w:eastAsia="zh-CN" w:bidi="ar-SA"/>
        </w:rPr>
      </w:pPr>
      <w:r>
        <w:rPr>
          <w:rFonts w:hint="eastAsia" w:ascii="仿宋_GB2312" w:hAnsi="仿宋_GB2312" w:eastAsia="仿宋_GB2312" w:cs="仿宋_GB2312"/>
          <w:b/>
          <w:bCs w:val="0"/>
          <w:color w:val="auto"/>
          <w:sz w:val="32"/>
          <w:szCs w:val="40"/>
          <w:highlight w:val="none"/>
          <w:lang w:val="en-US" w:eastAsia="zh-CN"/>
        </w:rPr>
        <w:t>提升家长数字素养。</w:t>
      </w:r>
      <w:r>
        <w:rPr>
          <w:rFonts w:hint="eastAsia" w:ascii="仿宋_GB2312" w:hAnsi="仿宋_GB2312" w:eastAsia="仿宋_GB2312" w:cs="仿宋_GB2312"/>
          <w:b w:val="0"/>
          <w:bCs/>
          <w:color w:val="auto"/>
          <w:kern w:val="2"/>
          <w:sz w:val="32"/>
          <w:szCs w:val="40"/>
          <w:highlight w:val="none"/>
          <w:lang w:val="en-US" w:eastAsia="zh-CN" w:bidi="ar-SA"/>
        </w:rPr>
        <w:t>依托数字平台与资源开展家长数字素养专项提升行动，助力家长运用数字化工具解决育儿问题。分层开发培训内容，制作平台操作、资源检索等基础课程，配套适老化等教程；组织常态化培训与案例分享活动，推广优秀数字化育儿案例。建立精准需求响应机制，通过问卷、调研等收集家长诉求，动态优化培训内容与形式，助力师市家校社协同育人“教联体”建设提质增效。</w:t>
      </w:r>
    </w:p>
    <w:p w14:paraId="76AF58C3">
      <w:pPr>
        <w:pStyle w:val="4"/>
        <w:bidi w:val="0"/>
        <w:rPr>
          <w:rFonts w:hint="eastAsia" w:ascii="黑体" w:hAnsi="黑体" w:eastAsia="黑体" w:cs="黑体"/>
          <w:color w:val="auto"/>
          <w:lang w:val="en-US" w:eastAsia="zh-CN"/>
        </w:rPr>
      </w:pPr>
      <w:bookmarkStart w:id="46" w:name="_Toc17172"/>
      <w:bookmarkStart w:id="47" w:name="_Toc2054518971"/>
      <w:bookmarkStart w:id="48" w:name="_Toc2046391914"/>
      <w:bookmarkStart w:id="49" w:name="_Toc2020059175"/>
      <w:r>
        <w:rPr>
          <w:rFonts w:hint="eastAsia" w:ascii="黑体" w:hAnsi="黑体" w:eastAsia="黑体" w:cs="黑体"/>
          <w:color w:val="auto"/>
          <w:lang w:val="en-US" w:eastAsia="zh-CN"/>
        </w:rPr>
        <w:t>第六节 构建系统化家庭教育指导服务机制</w:t>
      </w:r>
      <w:bookmarkEnd w:id="46"/>
      <w:bookmarkEnd w:id="47"/>
      <w:bookmarkEnd w:id="48"/>
      <w:bookmarkEnd w:id="49"/>
    </w:p>
    <w:p w14:paraId="33755C9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kern w:val="2"/>
          <w:sz w:val="32"/>
          <w:szCs w:val="40"/>
          <w:highlight w:val="none"/>
          <w:lang w:val="en-US" w:eastAsia="zh-CN" w:bidi="ar-SA"/>
        </w:rPr>
      </w:pPr>
      <w:bookmarkStart w:id="50" w:name="_Toc1635954665"/>
      <w:bookmarkStart w:id="51" w:name="_Toc25982"/>
      <w:bookmarkStart w:id="52" w:name="_Toc322629018"/>
      <w:bookmarkStart w:id="53" w:name="_Toc778669520"/>
      <w:r>
        <w:rPr>
          <w:rFonts w:hint="eastAsia" w:ascii="仿宋_GB2312" w:hAnsi="仿宋_GB2312" w:eastAsia="仿宋_GB2312" w:cs="仿宋_GB2312"/>
          <w:b/>
          <w:bCs w:val="0"/>
          <w:color w:val="auto"/>
          <w:kern w:val="2"/>
          <w:sz w:val="32"/>
          <w:szCs w:val="40"/>
          <w:highlight w:val="none"/>
          <w:lang w:val="en-US" w:eastAsia="zh-CN" w:bidi="ar-SA"/>
        </w:rPr>
        <w:t>健全家校社协同统筹机制</w:t>
      </w:r>
      <w:bookmarkEnd w:id="50"/>
      <w:bookmarkEnd w:id="51"/>
      <w:bookmarkEnd w:id="52"/>
      <w:bookmarkEnd w:id="53"/>
      <w:r>
        <w:rPr>
          <w:rFonts w:hint="eastAsia" w:ascii="仿宋_GB2312" w:hAnsi="仿宋_GB2312" w:eastAsia="仿宋_GB2312" w:cs="仿宋_GB2312"/>
          <w:b/>
          <w:bCs w:val="0"/>
          <w:color w:val="auto"/>
          <w:kern w:val="2"/>
          <w:sz w:val="32"/>
          <w:szCs w:val="40"/>
          <w:highlight w:val="none"/>
          <w:lang w:val="en-US" w:eastAsia="zh-CN" w:bidi="ar-SA"/>
        </w:rPr>
        <w:t>。</w:t>
      </w:r>
      <w:r>
        <w:rPr>
          <w:rFonts w:hint="eastAsia" w:ascii="仿宋_GB2312" w:hAnsi="仿宋_GB2312" w:eastAsia="仿宋_GB2312" w:cs="仿宋_GB2312"/>
          <w:b w:val="0"/>
          <w:bCs/>
          <w:color w:val="auto"/>
          <w:kern w:val="2"/>
          <w:sz w:val="32"/>
          <w:szCs w:val="40"/>
          <w:highlight w:val="none"/>
          <w:lang w:val="en-US" w:eastAsia="zh-CN" w:bidi="ar-SA"/>
        </w:rPr>
        <w:t>立足师市团镇合一的特点与家庭教育发展实际，为有效整合教育资源、凝聚育人合力，系统构建职责清晰、运行顺畅的家校社协同统筹机制。夯实基层服务阵地，在社区设立家庭教育服务点，链接并配送资源，精准响应家庭需求；发挥学校家长学校作用，用好学校家长学校早预判、早发现、早干预的优势。通过丰富社区教育资源、家长开放日等互动载体，为师市家庭教育高质量发展提供坚实支撑。</w:t>
      </w:r>
      <w:bookmarkStart w:id="54" w:name="_Toc1582230191"/>
      <w:bookmarkStart w:id="55" w:name="_Toc31709"/>
      <w:bookmarkStart w:id="56" w:name="_Toc816112995"/>
      <w:bookmarkStart w:id="57" w:name="_Toc1760910771"/>
    </w:p>
    <w:p w14:paraId="3808185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kern w:val="2"/>
          <w:sz w:val="32"/>
          <w:szCs w:val="40"/>
          <w:highlight w:val="none"/>
          <w:lang w:val="en-US" w:eastAsia="zh-CN" w:bidi="ar-SA"/>
        </w:rPr>
      </w:pPr>
      <w:r>
        <w:rPr>
          <w:rFonts w:hint="eastAsia" w:ascii="仿宋_GB2312" w:hAnsi="仿宋_GB2312" w:eastAsia="仿宋_GB2312" w:cs="仿宋_GB2312"/>
          <w:b/>
          <w:bCs w:val="0"/>
          <w:color w:val="auto"/>
          <w:kern w:val="2"/>
          <w:sz w:val="32"/>
          <w:szCs w:val="40"/>
          <w:highlight w:val="none"/>
          <w:lang w:val="en-US" w:eastAsia="zh-CN" w:bidi="ar-SA"/>
        </w:rPr>
        <w:t>优化分级联动服务机制</w:t>
      </w:r>
      <w:bookmarkEnd w:id="54"/>
      <w:bookmarkEnd w:id="55"/>
      <w:bookmarkEnd w:id="56"/>
      <w:bookmarkEnd w:id="57"/>
      <w:bookmarkStart w:id="58" w:name="_Toc1073259072"/>
      <w:bookmarkStart w:id="59" w:name="_Toc1422673452"/>
      <w:bookmarkStart w:id="60" w:name="_Toc1681589068"/>
      <w:r>
        <w:rPr>
          <w:rFonts w:hint="eastAsia" w:ascii="仿宋_GB2312" w:hAnsi="仿宋_GB2312" w:eastAsia="仿宋_GB2312" w:cs="仿宋_GB2312"/>
          <w:b/>
          <w:bCs w:val="0"/>
          <w:color w:val="auto"/>
          <w:kern w:val="2"/>
          <w:sz w:val="32"/>
          <w:szCs w:val="40"/>
          <w:highlight w:val="none"/>
          <w:lang w:val="en-US" w:eastAsia="zh-CN" w:bidi="ar-SA"/>
        </w:rPr>
        <w:t>。</w:t>
      </w:r>
      <w:r>
        <w:rPr>
          <w:rFonts w:hint="eastAsia" w:ascii="仿宋_GB2312" w:hAnsi="仿宋_GB2312" w:eastAsia="仿宋_GB2312" w:cs="仿宋_GB2312"/>
          <w:b w:val="0"/>
          <w:bCs/>
          <w:color w:val="auto"/>
          <w:kern w:val="2"/>
          <w:sz w:val="32"/>
          <w:szCs w:val="40"/>
          <w:highlight w:val="none"/>
          <w:lang w:val="en-US" w:eastAsia="zh-CN" w:bidi="ar-SA"/>
        </w:rPr>
        <w:t>构建权责清晰、纵向贯通的三级服务网络，确保家庭教育指导服务能有效覆盖师市全域。明确三级职责与服务标准：师市层面负责总体规划、标准制定与资源统筹；团场妇联承担区域协调枢纽职能，负责对接上下、整合辖区资源；社区家长学校作为一线阵地，负责服务的直接提供、需求的前端收集与活动落地。建立纵向联动工作路径：制定从社区到师市的常态化信息上报与任务下达流程，确保家庭需求、服务问题能及时上传，政策资源、解决方案能精准下沉。强化特殊群体服务通道：针对留守、困境儿童家庭，建立跨层级的“绿灯”响应通道。</w:t>
      </w:r>
    </w:p>
    <w:p w14:paraId="5B20242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kern w:val="2"/>
          <w:sz w:val="32"/>
          <w:szCs w:val="40"/>
          <w:highlight w:val="none"/>
          <w:lang w:val="en-US" w:eastAsia="zh-CN" w:bidi="ar-SA"/>
        </w:rPr>
      </w:pPr>
      <w:r>
        <w:rPr>
          <w:rFonts w:hint="eastAsia" w:ascii="仿宋_GB2312" w:hAnsi="仿宋_GB2312" w:eastAsia="仿宋_GB2312" w:cs="仿宋_GB2312"/>
          <w:b/>
          <w:bCs w:val="0"/>
          <w:color w:val="auto"/>
          <w:kern w:val="2"/>
          <w:sz w:val="32"/>
          <w:szCs w:val="40"/>
          <w:highlight w:val="none"/>
          <w:lang w:val="en-US" w:eastAsia="zh-CN" w:bidi="ar-SA"/>
        </w:rPr>
        <w:t>建立需求响应与资源调配机制</w:t>
      </w:r>
      <w:bookmarkEnd w:id="58"/>
      <w:bookmarkEnd w:id="59"/>
      <w:bookmarkEnd w:id="60"/>
      <w:r>
        <w:rPr>
          <w:rFonts w:hint="eastAsia" w:ascii="仿宋_GB2312" w:hAnsi="仿宋_GB2312" w:eastAsia="仿宋_GB2312" w:cs="仿宋_GB2312"/>
          <w:b/>
          <w:bCs w:val="0"/>
          <w:color w:val="auto"/>
          <w:kern w:val="2"/>
          <w:sz w:val="32"/>
          <w:szCs w:val="40"/>
          <w:highlight w:val="none"/>
          <w:lang w:val="en-US" w:eastAsia="zh-CN" w:bidi="ar-SA"/>
        </w:rPr>
        <w:t>。</w:t>
      </w:r>
      <w:r>
        <w:rPr>
          <w:rFonts w:hint="eastAsia" w:ascii="仿宋_GB2312" w:hAnsi="仿宋_GB2312" w:eastAsia="仿宋_GB2312" w:cs="仿宋_GB2312"/>
          <w:b w:val="0"/>
          <w:bCs/>
          <w:color w:val="auto"/>
          <w:kern w:val="2"/>
          <w:sz w:val="32"/>
          <w:szCs w:val="40"/>
          <w:highlight w:val="none"/>
          <w:lang w:val="en-US" w:eastAsia="zh-CN" w:bidi="ar-SA"/>
        </w:rPr>
        <w:t>建设动态资源与需求数据库。一方面，广泛整合师资、课程、场馆等社会资源，建立标签化、可检索的“家庭教育资源库”；另一方面，通过线上调研、活动反馈、基层上报等多渠道，持续收集并更新家庭需求信息。建立服务后跟踪评估机制，以家庭满意度与实际成效反馈，反向优化匹配策略与资源建设方向，形成“需求洞察-智能匹配-精准配送-效果评估”的完整数据。</w:t>
      </w:r>
    </w:p>
    <w:p w14:paraId="3D473C8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color w:val="auto"/>
          <w:kern w:val="2"/>
          <w:sz w:val="32"/>
          <w:szCs w:val="40"/>
          <w:highlight w:val="none"/>
          <w:lang w:val="en-US" w:eastAsia="zh-CN" w:bidi="ar-SA"/>
        </w:rPr>
      </w:pPr>
      <w:r>
        <w:rPr>
          <w:rFonts w:hint="eastAsia" w:ascii="仿宋_GB2312" w:hAnsi="仿宋_GB2312" w:eastAsia="仿宋_GB2312" w:cs="仿宋_GB2312"/>
          <w:b/>
          <w:bCs w:val="0"/>
          <w:color w:val="auto"/>
          <w:kern w:val="2"/>
          <w:sz w:val="32"/>
          <w:szCs w:val="40"/>
          <w:highlight w:val="none"/>
          <w:lang w:val="en-US" w:eastAsia="zh-CN" w:bidi="ar-SA"/>
        </w:rPr>
        <w:t>建立心理危机干预协同响应机制。</w:t>
      </w:r>
      <w:r>
        <w:rPr>
          <w:rFonts w:hint="eastAsia" w:ascii="仿宋_GB2312" w:hAnsi="仿宋_GB2312" w:eastAsia="仿宋_GB2312" w:cs="仿宋_GB2312"/>
          <w:b w:val="0"/>
          <w:bCs/>
          <w:color w:val="auto"/>
          <w:kern w:val="2"/>
          <w:sz w:val="32"/>
          <w:szCs w:val="40"/>
          <w:highlight w:val="none"/>
          <w:lang w:val="en-US" w:eastAsia="zh-CN" w:bidi="ar-SA"/>
        </w:rPr>
        <w:t>依托社区妇联干部、网格员及志愿者，建立常态化心理隐患排查机制，重点关注留守、困境儿童等重点群体，捕捉异常信号并建立隐患台账，实现早发现、早识别、早介入。搭建“社区初筛-团场研判-社区、团场、师市、机构联动处置”分级响应通道，必要时联动医疗等部门解决。同时，加强队伍专业化培训，建立心理资源库，健全干预后跟踪回访机制，通过讲座、宣传等形式普及心理防护知识，推动心理危机干预工作常态化、规范化开展，守护青少年健康成长与家庭和谐稳定。</w:t>
      </w:r>
    </w:p>
    <w:p w14:paraId="7FB2D2A2">
      <w:pPr>
        <w:pageBreakBefore w:val="0"/>
        <w:kinsoku/>
        <w:wordWrap/>
        <w:overflowPunct/>
        <w:topLinePunct w:val="0"/>
        <w:autoSpaceDN/>
        <w:bidi w:val="0"/>
        <w:adjustRightInd/>
        <w:spacing w:line="560" w:lineRule="exact"/>
        <w:ind w:firstLine="643" w:firstLineChars="200"/>
        <w:textAlignment w:val="auto"/>
        <w:rPr>
          <w:rFonts w:hint="default" w:ascii="Times New Roman" w:hAnsi="Times New Roman" w:eastAsia="仿宋" w:cs="Times New Roman"/>
          <w:b w:val="0"/>
          <w:bCs/>
          <w:color w:val="auto"/>
          <w:sz w:val="32"/>
          <w:szCs w:val="32"/>
          <w:highlight w:val="none"/>
        </w:rPr>
      </w:pPr>
      <w:bookmarkStart w:id="61" w:name="_Toc316646863"/>
      <w:bookmarkStart w:id="62" w:name="_Toc1363519905"/>
      <w:bookmarkStart w:id="63" w:name="_Toc1859485587"/>
      <w:r>
        <w:rPr>
          <w:rFonts w:hint="eastAsia" w:ascii="仿宋_GB2312" w:hAnsi="仿宋_GB2312" w:eastAsia="仿宋_GB2312" w:cs="仿宋_GB2312"/>
          <w:b/>
          <w:bCs w:val="0"/>
          <w:color w:val="auto"/>
          <w:kern w:val="2"/>
          <w:sz w:val="32"/>
          <w:szCs w:val="40"/>
          <w:highlight w:val="none"/>
          <w:lang w:val="en-US" w:eastAsia="zh-CN" w:bidi="ar-SA"/>
        </w:rPr>
        <w:t>试行监督激励保障机制</w:t>
      </w:r>
      <w:bookmarkEnd w:id="61"/>
      <w:bookmarkEnd w:id="62"/>
      <w:bookmarkEnd w:id="63"/>
      <w:r>
        <w:rPr>
          <w:rFonts w:hint="eastAsia" w:ascii="仿宋_GB2312" w:hAnsi="仿宋_GB2312" w:eastAsia="仿宋_GB2312" w:cs="仿宋_GB2312"/>
          <w:b/>
          <w:bCs w:val="0"/>
          <w:color w:val="auto"/>
          <w:kern w:val="2"/>
          <w:sz w:val="32"/>
          <w:szCs w:val="40"/>
          <w:highlight w:val="none"/>
          <w:lang w:val="en-US" w:eastAsia="zh-CN" w:bidi="ar-SA"/>
        </w:rPr>
        <w:t>。</w:t>
      </w:r>
      <w:r>
        <w:rPr>
          <w:rFonts w:hint="eastAsia" w:ascii="仿宋_GB2312" w:hAnsi="仿宋_GB2312" w:eastAsia="仿宋_GB2312" w:cs="仿宋_GB2312"/>
          <w:b w:val="0"/>
          <w:bCs/>
          <w:color w:val="auto"/>
          <w:kern w:val="2"/>
          <w:sz w:val="32"/>
          <w:szCs w:val="40"/>
          <w:highlight w:val="none"/>
          <w:lang w:val="en-US" w:eastAsia="zh-CN" w:bidi="ar-SA"/>
        </w:rPr>
        <w:t>构建“监督规范、激励有效、保障有力”的工作闭环，为家庭教育服务体系的高质量运行提供支撑。建立健全常态化督导与周期性评估相结合的监督机制。推行服务信息公开与家长满意度测评，建立反馈整改流程，确保服务规范、透明、优质。设计针对不同主体的激励措施，形成正向引导。对服务机构，开展综合评定，结果与政府购买服务、资源支持挂钩。对从业人员，完善考核评优、专业培训等成长支持体系。对参与家庭，探索建立“家庭成长积分”制度，可兑换课程或服务，鼓励持续参与。对社会力量，对贡献突出的企业、社会组织给予宣传推介、项目合作等支持。定期选树和推广创新实践案例与示范项目。将家庭教育工作经费纳入财政预算，保障稳定投入。加强家庭教育指导师队伍的专业化建设与培训。支持实践经验的总结提炼与成果转化，建设本土化资源库。确保各项工作在人员、经费、阵地等方面得到持续支持。</w:t>
      </w:r>
      <w:r>
        <w:rPr>
          <w:rFonts w:hint="default" w:ascii="Times New Roman" w:hAnsi="Times New Roman" w:eastAsia="仿宋" w:cs="Times New Roman"/>
          <w:b w:val="0"/>
          <w:bCs/>
          <w:color w:val="auto"/>
          <w:sz w:val="32"/>
          <w:szCs w:val="32"/>
          <w:highlight w:val="none"/>
        </w:rPr>
        <w:t>​</w:t>
      </w:r>
      <w:bookmarkEnd w:id="43"/>
      <w:bookmarkEnd w:id="44"/>
      <w:bookmarkEnd w:id="45"/>
      <w:bookmarkStart w:id="64" w:name="_Toc273435236"/>
      <w:bookmarkStart w:id="65" w:name="_Toc9451"/>
      <w:bookmarkStart w:id="66" w:name="_Toc1763069743"/>
      <w:bookmarkStart w:id="67" w:name="_Toc1596749525"/>
      <w:bookmarkStart w:id="68" w:name="_Toc21309"/>
    </w:p>
    <w:p w14:paraId="5F8D6A8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Calibri" w:hAnsi="Calibri" w:eastAsia="方正小标宋简体" w:cs="Times New Roman"/>
          <w:color w:val="auto"/>
          <w:kern w:val="44"/>
          <w:sz w:val="36"/>
          <w:szCs w:val="36"/>
          <w:lang w:val="en-US" w:eastAsia="zh-CN" w:bidi="ar-SA"/>
        </w:rPr>
      </w:pPr>
      <w:r>
        <w:rPr>
          <w:rFonts w:hint="default" w:ascii="Calibri" w:hAnsi="Calibri" w:eastAsia="方正小标宋简体" w:cs="Times New Roman"/>
          <w:color w:val="auto"/>
          <w:kern w:val="44"/>
          <w:sz w:val="36"/>
          <w:szCs w:val="36"/>
          <w:lang w:val="en-US" w:eastAsia="zh-CN" w:bidi="ar-SA"/>
        </w:rPr>
        <w:t>第四章 强化规划保障领导</w:t>
      </w:r>
      <w:bookmarkEnd w:id="64"/>
      <w:bookmarkEnd w:id="65"/>
      <w:bookmarkEnd w:id="66"/>
      <w:bookmarkEnd w:id="67"/>
      <w:bookmarkEnd w:id="68"/>
    </w:p>
    <w:p w14:paraId="3E682BCD">
      <w:pPr>
        <w:pStyle w:val="4"/>
        <w:bidi w:val="0"/>
        <w:rPr>
          <w:rFonts w:hint="eastAsia" w:ascii="黑体" w:hAnsi="黑体" w:eastAsia="黑体" w:cs="黑体"/>
          <w:color w:val="auto"/>
        </w:rPr>
      </w:pPr>
      <w:bookmarkStart w:id="69" w:name="_Toc1371830443"/>
      <w:bookmarkStart w:id="70" w:name="_Toc22743"/>
      <w:bookmarkStart w:id="71" w:name="_Toc27287413"/>
      <w:bookmarkStart w:id="72" w:name="_Toc13910"/>
      <w:bookmarkStart w:id="73" w:name="_Toc581326367"/>
      <w:r>
        <w:rPr>
          <w:rFonts w:hint="eastAsia" w:ascii="黑体" w:hAnsi="黑体" w:eastAsia="黑体" w:cs="黑体"/>
          <w:color w:val="auto"/>
        </w:rPr>
        <w:t>第一节 加强党对家庭教育事业的全面领导</w:t>
      </w:r>
      <w:bookmarkEnd w:id="69"/>
      <w:bookmarkEnd w:id="70"/>
      <w:bookmarkEnd w:id="71"/>
      <w:bookmarkEnd w:id="72"/>
      <w:bookmarkEnd w:id="73"/>
    </w:p>
    <w:p w14:paraId="33BA7843">
      <w:pPr>
        <w:pStyle w:val="14"/>
        <w:keepNext w:val="0"/>
        <w:keepLines w:val="0"/>
        <w:pageBreakBefore w:val="0"/>
        <w:widowControl/>
        <w:kinsoku/>
        <w:wordWrap/>
        <w:overflowPunct/>
        <w:topLinePunct w:val="0"/>
        <w:autoSpaceDE w:val="0"/>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kern w:val="2"/>
          <w:sz w:val="32"/>
          <w:szCs w:val="40"/>
          <w:highlight w:val="none"/>
          <w:lang w:val="en-US" w:eastAsia="zh-CN" w:bidi="ar-SA"/>
        </w:rPr>
        <w:t>党的领导是做好家庭教育工作的根本保证。坚持把党的全面领导贯穿师市家庭教育事业发展全过程、各方面，切实加强师市党委对家庭教育事业的统筹领导。坚持党建带妇建，将家庭教育工作纳入党委重点工作。师市各级党组织切实履行主体责任，将家庭家教家风建设融入基层社会治理体系，融入平安师市创建、民族团结进步等重点工作，维护家庭教育领域和谐稳定。师市党委定期研究家庭教育重大问题，将规划主要内容纳入师市党委民生实事。妇联组织要充分发挥桥梁纽带作用，引领广大家庭听党话、跟党走，以良好家风筑牢边疆长治久安的家庭根基。</w:t>
      </w:r>
    </w:p>
    <w:p w14:paraId="1604582E">
      <w:pPr>
        <w:pStyle w:val="4"/>
        <w:bidi w:val="0"/>
        <w:rPr>
          <w:rFonts w:hint="eastAsia" w:ascii="黑体" w:hAnsi="黑体" w:eastAsia="黑体" w:cs="黑体"/>
          <w:color w:val="auto"/>
        </w:rPr>
      </w:pPr>
      <w:bookmarkStart w:id="74" w:name="_Toc746921177"/>
      <w:bookmarkStart w:id="75" w:name="_Toc1018842706"/>
      <w:bookmarkStart w:id="76" w:name="_Toc21747"/>
      <w:bookmarkStart w:id="77" w:name="_Toc818941173"/>
      <w:bookmarkStart w:id="78" w:name="_Toc20205"/>
      <w:r>
        <w:rPr>
          <w:rFonts w:hint="eastAsia" w:ascii="黑体" w:hAnsi="黑体" w:eastAsia="黑体" w:cs="黑体"/>
          <w:color w:val="auto"/>
        </w:rPr>
        <w:t>第二节 完善家庭教育投入支撑机制</w:t>
      </w:r>
      <w:bookmarkEnd w:id="74"/>
      <w:bookmarkEnd w:id="75"/>
      <w:bookmarkEnd w:id="76"/>
      <w:bookmarkEnd w:id="77"/>
      <w:bookmarkEnd w:id="78"/>
    </w:p>
    <w:p w14:paraId="70E92D02">
      <w:pPr>
        <w:pStyle w:val="14"/>
        <w:keepNext w:val="0"/>
        <w:keepLines w:val="0"/>
        <w:pageBreakBefore w:val="0"/>
        <w:widowControl/>
        <w:kinsoku/>
        <w:wordWrap/>
        <w:overflowPunct/>
        <w:topLinePunct w:val="0"/>
        <w:autoSpaceDE w:val="0"/>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color w:val="auto"/>
          <w:kern w:val="2"/>
          <w:sz w:val="32"/>
          <w:szCs w:val="40"/>
          <w:highlight w:val="none"/>
          <w:lang w:val="en-US" w:eastAsia="zh-CN" w:bidi="ar-SA"/>
        </w:rPr>
      </w:pPr>
      <w:r>
        <w:rPr>
          <w:rFonts w:hint="eastAsia" w:ascii="仿宋_GB2312" w:hAnsi="仿宋_GB2312" w:eastAsia="仿宋_GB2312" w:cs="仿宋_GB2312"/>
          <w:b w:val="0"/>
          <w:bCs/>
          <w:color w:val="auto"/>
          <w:kern w:val="2"/>
          <w:sz w:val="32"/>
          <w:szCs w:val="40"/>
          <w:highlight w:val="none"/>
          <w:lang w:val="en-US" w:eastAsia="zh-CN" w:bidi="ar-SA"/>
        </w:rPr>
        <w:t>坚持将家庭教育指导服务纳入基本公共服务体系，建立与经济社会发展相适应的财政投入机制，按程序申报上级资金、援疆资金、师团两级财政年度预算。完善以政府投入为主、多渠道筹措经费的体制，积极争取上级转移支付、对口援疆资金，鼓励社会力量出资捐资支持家庭教育事业。优化经费使用结构，加大对薄弱团场、社区和特殊困难家庭的扶持力度，重点支持家庭教育指导服务体系建设、骨干人员培训、课程资源开发及数字化平台建设。实施绩效管理，强化经费使用监管和效益评估，落实预决算公开制度，为师市家庭教育高质量发展提供坚实物质支撑。</w:t>
      </w:r>
      <w:bookmarkStart w:id="79" w:name="_Toc7307"/>
      <w:bookmarkStart w:id="80" w:name="_Toc836919112"/>
      <w:bookmarkStart w:id="81" w:name="_Toc10064"/>
      <w:bookmarkStart w:id="82" w:name="_Toc831028843"/>
      <w:bookmarkStart w:id="83" w:name="_Toc1523251766"/>
    </w:p>
    <w:p w14:paraId="3EAA1DCC">
      <w:pPr>
        <w:pStyle w:val="4"/>
        <w:bidi w:val="0"/>
        <w:rPr>
          <w:rFonts w:hint="eastAsia" w:ascii="黑体" w:hAnsi="黑体" w:eastAsia="黑体" w:cs="黑体"/>
          <w:color w:val="auto"/>
          <w:lang w:val="en-US" w:eastAsia="zh-CN"/>
        </w:rPr>
      </w:pPr>
      <w:r>
        <w:rPr>
          <w:rFonts w:hint="eastAsia" w:ascii="黑体" w:hAnsi="黑体" w:eastAsia="黑体" w:cs="黑体"/>
          <w:color w:val="auto"/>
          <w:lang w:val="en-US" w:eastAsia="zh-CN"/>
        </w:rPr>
        <w:t>第三节 强化责任落实与部门协同</w:t>
      </w:r>
      <w:bookmarkEnd w:id="79"/>
      <w:bookmarkEnd w:id="80"/>
      <w:bookmarkEnd w:id="81"/>
      <w:bookmarkEnd w:id="82"/>
      <w:bookmarkEnd w:id="83"/>
    </w:p>
    <w:p w14:paraId="101E91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color w:val="auto"/>
          <w:sz w:val="32"/>
          <w:szCs w:val="40"/>
          <w:highlight w:val="none"/>
          <w:lang w:val="en-US" w:eastAsia="zh-CN"/>
        </w:rPr>
      </w:pPr>
      <w:r>
        <w:rPr>
          <w:rFonts w:hint="eastAsia" w:ascii="仿宋_GB2312" w:hAnsi="仿宋_GB2312" w:eastAsia="仿宋_GB2312" w:cs="仿宋_GB2312"/>
          <w:b w:val="0"/>
          <w:bCs/>
          <w:color w:val="auto"/>
          <w:sz w:val="32"/>
          <w:szCs w:val="40"/>
          <w:highlight w:val="none"/>
          <w:lang w:val="en-US" w:eastAsia="zh-CN"/>
        </w:rPr>
        <w:t>落实《中华人民共和国家庭教育促进法》等相关法律法规，明确各部门在家庭教育工作中的职责。师市党委、政府率先将家庭教育发展纳入经济社会发展总体规划和民生实事项目，建立健全由妇联组织联合相关部门共同参与的家庭教育工作联动机制。妇联负责统筹协调规划实施与业务指导，各相关部门依据职能分工，强化政策配套和资源整合，形成协同推进家庭教育的合力。建立科学的监测评估与督导机制，对规划实施情况开展年度监测、中期及终期评估。主动接受社会监督，定期向社会公布家庭教育发展情况，广泛听取各界意见建议。加强家庭教育工作宣传，营造“注重家庭、注重家教、注重家风”的社会氛围，凝聚全社会关心支持家庭教育的良好环境，共同促进十三师新星市家庭教育事业持续健康发展。</w:t>
      </w:r>
    </w:p>
    <w:p w14:paraId="3205B8EA">
      <w:pPr>
        <w:pageBreakBefore w:val="0"/>
        <w:kinsoku/>
        <w:wordWrap/>
        <w:overflowPunct/>
        <w:topLinePunct w:val="0"/>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color w:val="auto"/>
          <w:sz w:val="32"/>
          <w:szCs w:val="32"/>
          <w:highlight w:val="none"/>
        </w:rPr>
        <w:sectPr>
          <w:footerReference r:id="rId4" w:type="default"/>
          <w:pgSz w:w="11906" w:h="16838"/>
          <w:pgMar w:top="2098" w:right="1587" w:bottom="2098" w:left="1587" w:header="851" w:footer="992" w:gutter="0"/>
          <w:pgBorders>
            <w:top w:val="none" w:sz="0" w:space="0"/>
            <w:left w:val="none" w:sz="0" w:space="0"/>
            <w:bottom w:val="none" w:sz="0" w:space="0"/>
            <w:right w:val="none" w:sz="0" w:space="0"/>
          </w:pgBorders>
          <w:lnNumType w:countBy="0" w:distance="360"/>
          <w:pgNumType w:fmt="numberInDash" w:start="1"/>
          <w:cols w:space="720" w:num="1"/>
          <w:docGrid w:type="lines" w:linePitch="319" w:charSpace="0"/>
        </w:sectPr>
      </w:pPr>
    </w:p>
    <w:p w14:paraId="2A432381">
      <w:pPr>
        <w:pageBreakBefore w:val="0"/>
        <w:kinsoku/>
        <w:wordWrap/>
        <w:overflowPunct/>
        <w:topLinePunct w:val="0"/>
        <w:autoSpaceDN/>
        <w:bidi w:val="0"/>
        <w:adjustRightInd/>
        <w:spacing w:line="560" w:lineRule="exact"/>
        <w:jc w:val="both"/>
        <w:textAlignment w:val="auto"/>
        <w:outlineLvl w:val="0"/>
        <w:rPr>
          <w:rFonts w:hint="default" w:ascii="Times New Roman" w:hAnsi="Times New Roman" w:eastAsia="黑体" w:cs="Times New Roman"/>
          <w:b w:val="0"/>
          <w:bCs/>
          <w:color w:val="auto"/>
          <w:sz w:val="32"/>
          <w:szCs w:val="32"/>
          <w:highlight w:val="none"/>
          <w:lang w:val="en-US" w:eastAsia="zh-CN"/>
        </w:rPr>
      </w:pPr>
      <w:bookmarkStart w:id="84" w:name="_Toc13250"/>
      <w:bookmarkStart w:id="85" w:name="_Toc6920"/>
      <w:r>
        <w:rPr>
          <w:rFonts w:hint="default" w:ascii="Times New Roman" w:hAnsi="Times New Roman" w:eastAsia="黑体" w:cs="Times New Roman"/>
          <w:b w:val="0"/>
          <w:bCs/>
          <w:color w:val="auto"/>
          <w:sz w:val="32"/>
          <w:szCs w:val="32"/>
          <w:highlight w:val="none"/>
        </w:rPr>
        <w:t>附件</w:t>
      </w:r>
      <w:bookmarkEnd w:id="84"/>
      <w:bookmarkEnd w:id="85"/>
      <w:bookmarkStart w:id="86" w:name="_Toc17961"/>
    </w:p>
    <w:p w14:paraId="7B135E56">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方正小标宋简体" w:cs="Times New Roman"/>
          <w:b w:val="0"/>
          <w:bCs/>
          <w:color w:val="auto"/>
          <w:sz w:val="40"/>
          <w:szCs w:val="40"/>
          <w:highlight w:val="none"/>
          <w:lang w:val="en-US" w:eastAsia="zh-CN"/>
        </w:rPr>
      </w:pPr>
      <w:r>
        <w:rPr>
          <w:rFonts w:hint="default" w:ascii="Times New Roman" w:hAnsi="Times New Roman" w:eastAsia="方正小标宋简体" w:cs="Times New Roman"/>
          <w:b w:val="0"/>
          <w:bCs/>
          <w:color w:val="auto"/>
          <w:sz w:val="40"/>
          <w:szCs w:val="40"/>
          <w:highlight w:val="none"/>
          <w:lang w:val="en-US" w:eastAsia="zh-CN"/>
        </w:rPr>
        <w:t>第十三师新星市家庭教育工作专项规划项目</w:t>
      </w:r>
      <w:bookmarkEnd w:id="86"/>
    </w:p>
    <w:tbl>
      <w:tblPr>
        <w:tblStyle w:val="15"/>
        <w:tblW w:w="157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8"/>
        <w:gridCol w:w="1074"/>
        <w:gridCol w:w="475"/>
        <w:gridCol w:w="1510"/>
        <w:gridCol w:w="2474"/>
        <w:gridCol w:w="950"/>
        <w:gridCol w:w="882"/>
        <w:gridCol w:w="2335"/>
        <w:gridCol w:w="2234"/>
        <w:gridCol w:w="1216"/>
        <w:gridCol w:w="1061"/>
        <w:gridCol w:w="639"/>
      </w:tblGrid>
      <w:tr w14:paraId="63FDB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blHeader/>
          <w:jc w:val="center"/>
        </w:trPr>
        <w:tc>
          <w:tcPr>
            <w:tcW w:w="86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48449A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auto"/>
                <w:sz w:val="28"/>
                <w:szCs w:val="28"/>
                <w:u w:val="none"/>
              </w:rPr>
            </w:pPr>
            <w:r>
              <w:rPr>
                <w:rFonts w:hint="eastAsia" w:ascii="仿宋_GB2312" w:hAnsi="仿宋_GB2312" w:eastAsia="仿宋_GB2312" w:cs="仿宋_GB2312"/>
                <w:b/>
                <w:bCs/>
                <w:i w:val="0"/>
                <w:iCs w:val="0"/>
                <w:color w:val="auto"/>
                <w:kern w:val="0"/>
                <w:sz w:val="28"/>
                <w:szCs w:val="28"/>
                <w:u w:val="none"/>
                <w:lang w:val="en-US" w:eastAsia="zh-CN" w:bidi="ar"/>
              </w:rPr>
              <w:t>规划方向</w:t>
            </w:r>
          </w:p>
        </w:tc>
        <w:tc>
          <w:tcPr>
            <w:tcW w:w="1074" w:type="dxa"/>
            <w:tcBorders>
              <w:top w:val="single" w:color="000000" w:sz="8" w:space="0"/>
              <w:left w:val="nil"/>
              <w:bottom w:val="single" w:color="000000" w:sz="8" w:space="0"/>
              <w:right w:val="single" w:color="000000" w:sz="8" w:space="0"/>
            </w:tcBorders>
            <w:shd w:val="clear" w:color="auto" w:fill="auto"/>
            <w:vAlign w:val="center"/>
          </w:tcPr>
          <w:p w14:paraId="272980B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auto"/>
                <w:sz w:val="28"/>
                <w:szCs w:val="28"/>
                <w:u w:val="none"/>
              </w:rPr>
            </w:pPr>
            <w:r>
              <w:rPr>
                <w:rFonts w:hint="eastAsia" w:ascii="仿宋_GB2312" w:hAnsi="仿宋_GB2312" w:eastAsia="仿宋_GB2312" w:cs="仿宋_GB2312"/>
                <w:b/>
                <w:bCs/>
                <w:i w:val="0"/>
                <w:iCs w:val="0"/>
                <w:color w:val="auto"/>
                <w:kern w:val="0"/>
                <w:sz w:val="28"/>
                <w:szCs w:val="28"/>
                <w:u w:val="none"/>
                <w:lang w:val="en-US" w:eastAsia="zh-CN" w:bidi="ar"/>
              </w:rPr>
              <w:t>项目名称</w:t>
            </w:r>
          </w:p>
        </w:tc>
        <w:tc>
          <w:tcPr>
            <w:tcW w:w="475" w:type="dxa"/>
            <w:tcBorders>
              <w:top w:val="single" w:color="000000" w:sz="8" w:space="0"/>
              <w:left w:val="nil"/>
              <w:bottom w:val="single" w:color="000000" w:sz="8" w:space="0"/>
              <w:right w:val="single" w:color="000000" w:sz="8" w:space="0"/>
            </w:tcBorders>
            <w:shd w:val="clear" w:color="auto" w:fill="auto"/>
            <w:vAlign w:val="center"/>
          </w:tcPr>
          <w:p w14:paraId="5A2CB1B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auto"/>
                <w:sz w:val="28"/>
                <w:szCs w:val="28"/>
                <w:u w:val="none"/>
              </w:rPr>
            </w:pPr>
            <w:r>
              <w:rPr>
                <w:rFonts w:hint="eastAsia" w:ascii="仿宋_GB2312" w:hAnsi="仿宋_GB2312" w:eastAsia="仿宋_GB2312" w:cs="仿宋_GB2312"/>
                <w:b/>
                <w:bCs/>
                <w:i w:val="0"/>
                <w:iCs w:val="0"/>
                <w:color w:val="auto"/>
                <w:kern w:val="0"/>
                <w:sz w:val="28"/>
                <w:szCs w:val="28"/>
                <w:u w:val="none"/>
                <w:lang w:val="en-US" w:eastAsia="zh-CN" w:bidi="ar"/>
              </w:rPr>
              <w:t>类型</w:t>
            </w:r>
          </w:p>
        </w:tc>
        <w:tc>
          <w:tcPr>
            <w:tcW w:w="1510" w:type="dxa"/>
            <w:tcBorders>
              <w:top w:val="single" w:color="000000" w:sz="8" w:space="0"/>
              <w:left w:val="nil"/>
              <w:bottom w:val="single" w:color="000000" w:sz="8" w:space="0"/>
              <w:right w:val="single" w:color="000000" w:sz="8" w:space="0"/>
            </w:tcBorders>
            <w:shd w:val="clear" w:color="auto" w:fill="auto"/>
            <w:vAlign w:val="center"/>
          </w:tcPr>
          <w:p w14:paraId="2CD9097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auto"/>
                <w:sz w:val="28"/>
                <w:szCs w:val="28"/>
                <w:u w:val="none"/>
              </w:rPr>
            </w:pPr>
            <w:r>
              <w:rPr>
                <w:rStyle w:val="21"/>
                <w:rFonts w:hint="eastAsia" w:ascii="仿宋_GB2312" w:hAnsi="仿宋_GB2312" w:eastAsia="仿宋_GB2312" w:cs="仿宋_GB2312"/>
                <w:b/>
                <w:color w:val="auto"/>
                <w:sz w:val="28"/>
                <w:szCs w:val="28"/>
                <w:lang w:val="en-US" w:eastAsia="zh-CN" w:bidi="ar"/>
              </w:rPr>
              <w:t>责任主体</w:t>
            </w:r>
            <w:r>
              <w:rPr>
                <w:rStyle w:val="22"/>
                <w:rFonts w:hint="eastAsia" w:ascii="仿宋_GB2312" w:hAnsi="仿宋_GB2312" w:eastAsia="仿宋_GB2312" w:cs="仿宋_GB2312"/>
                <w:b/>
                <w:color w:val="auto"/>
                <w:sz w:val="28"/>
                <w:szCs w:val="28"/>
                <w:lang w:val="en-US" w:eastAsia="zh-CN" w:bidi="ar"/>
              </w:rPr>
              <w:t>/</w:t>
            </w:r>
            <w:r>
              <w:rPr>
                <w:rStyle w:val="21"/>
                <w:rFonts w:hint="eastAsia" w:ascii="仿宋_GB2312" w:hAnsi="仿宋_GB2312" w:eastAsia="仿宋_GB2312" w:cs="仿宋_GB2312"/>
                <w:b/>
                <w:color w:val="auto"/>
                <w:sz w:val="28"/>
                <w:szCs w:val="28"/>
                <w:lang w:val="en-US" w:eastAsia="zh-CN" w:bidi="ar"/>
              </w:rPr>
              <w:t>主管部门</w:t>
            </w:r>
          </w:p>
        </w:tc>
        <w:tc>
          <w:tcPr>
            <w:tcW w:w="2474" w:type="dxa"/>
            <w:tcBorders>
              <w:top w:val="single" w:color="000000" w:sz="8" w:space="0"/>
              <w:left w:val="nil"/>
              <w:bottom w:val="single" w:color="000000" w:sz="8" w:space="0"/>
              <w:right w:val="single" w:color="000000" w:sz="8" w:space="0"/>
            </w:tcBorders>
            <w:shd w:val="clear" w:color="auto" w:fill="auto"/>
            <w:vAlign w:val="center"/>
          </w:tcPr>
          <w:p w14:paraId="0BB0C71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auto"/>
                <w:sz w:val="28"/>
                <w:szCs w:val="28"/>
                <w:u w:val="none"/>
              </w:rPr>
            </w:pPr>
            <w:r>
              <w:rPr>
                <w:rFonts w:hint="eastAsia" w:ascii="仿宋_GB2312" w:hAnsi="仿宋_GB2312" w:eastAsia="仿宋_GB2312" w:cs="仿宋_GB2312"/>
                <w:b/>
                <w:bCs/>
                <w:i w:val="0"/>
                <w:iCs w:val="0"/>
                <w:color w:val="auto"/>
                <w:kern w:val="0"/>
                <w:sz w:val="28"/>
                <w:szCs w:val="28"/>
                <w:u w:val="none"/>
                <w:lang w:val="en-US" w:eastAsia="zh-CN" w:bidi="ar"/>
              </w:rPr>
              <w:t>主要内容</w:t>
            </w:r>
          </w:p>
        </w:tc>
        <w:tc>
          <w:tcPr>
            <w:tcW w:w="950" w:type="dxa"/>
            <w:tcBorders>
              <w:top w:val="single" w:color="000000" w:sz="8" w:space="0"/>
              <w:left w:val="nil"/>
              <w:bottom w:val="single" w:color="000000" w:sz="8" w:space="0"/>
              <w:right w:val="single" w:color="000000" w:sz="8" w:space="0"/>
            </w:tcBorders>
            <w:shd w:val="clear" w:color="auto" w:fill="auto"/>
            <w:vAlign w:val="center"/>
          </w:tcPr>
          <w:p w14:paraId="21F4FAC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auto"/>
                <w:sz w:val="28"/>
                <w:szCs w:val="28"/>
                <w:u w:val="none"/>
              </w:rPr>
            </w:pPr>
            <w:r>
              <w:rPr>
                <w:rFonts w:hint="eastAsia" w:ascii="仿宋_GB2312" w:hAnsi="仿宋_GB2312" w:eastAsia="仿宋_GB2312" w:cs="仿宋_GB2312"/>
                <w:b/>
                <w:bCs/>
                <w:i w:val="0"/>
                <w:iCs w:val="0"/>
                <w:color w:val="auto"/>
                <w:kern w:val="0"/>
                <w:sz w:val="28"/>
                <w:szCs w:val="28"/>
                <w:u w:val="none"/>
                <w:lang w:val="en-US" w:eastAsia="zh-CN" w:bidi="ar"/>
              </w:rPr>
              <w:t>建设地点</w:t>
            </w:r>
          </w:p>
        </w:tc>
        <w:tc>
          <w:tcPr>
            <w:tcW w:w="882" w:type="dxa"/>
            <w:tcBorders>
              <w:top w:val="single" w:color="000000" w:sz="8" w:space="0"/>
              <w:left w:val="nil"/>
              <w:bottom w:val="single" w:color="000000" w:sz="8" w:space="0"/>
              <w:right w:val="single" w:color="000000" w:sz="8" w:space="0"/>
            </w:tcBorders>
            <w:shd w:val="clear" w:color="auto" w:fill="auto"/>
            <w:vAlign w:val="center"/>
          </w:tcPr>
          <w:p w14:paraId="6E58DEC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auto"/>
                <w:sz w:val="28"/>
                <w:szCs w:val="28"/>
                <w:u w:val="none"/>
              </w:rPr>
            </w:pPr>
            <w:r>
              <w:rPr>
                <w:rFonts w:hint="eastAsia" w:ascii="仿宋_GB2312" w:hAnsi="仿宋_GB2312" w:eastAsia="仿宋_GB2312" w:cs="仿宋_GB2312"/>
                <w:b/>
                <w:bCs/>
                <w:i w:val="0"/>
                <w:iCs w:val="0"/>
                <w:color w:val="auto"/>
                <w:kern w:val="0"/>
                <w:sz w:val="28"/>
                <w:szCs w:val="28"/>
                <w:u w:val="none"/>
                <w:lang w:val="en-US" w:eastAsia="zh-CN" w:bidi="ar"/>
              </w:rPr>
              <w:t>建设时间</w:t>
            </w:r>
          </w:p>
        </w:tc>
        <w:tc>
          <w:tcPr>
            <w:tcW w:w="2335" w:type="dxa"/>
            <w:tcBorders>
              <w:top w:val="single" w:color="000000" w:sz="8" w:space="0"/>
              <w:left w:val="nil"/>
              <w:bottom w:val="single" w:color="000000" w:sz="8" w:space="0"/>
              <w:right w:val="single" w:color="000000" w:sz="8" w:space="0"/>
            </w:tcBorders>
            <w:shd w:val="clear" w:color="auto" w:fill="auto"/>
            <w:vAlign w:val="center"/>
          </w:tcPr>
          <w:p w14:paraId="58CFA2D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auto"/>
                <w:sz w:val="28"/>
                <w:szCs w:val="28"/>
                <w:u w:val="none"/>
              </w:rPr>
            </w:pPr>
            <w:r>
              <w:rPr>
                <w:rFonts w:hint="eastAsia" w:ascii="仿宋_GB2312" w:hAnsi="仿宋_GB2312" w:eastAsia="仿宋_GB2312" w:cs="仿宋_GB2312"/>
                <w:b/>
                <w:bCs/>
                <w:i w:val="0"/>
                <w:iCs w:val="0"/>
                <w:color w:val="auto"/>
                <w:kern w:val="0"/>
                <w:sz w:val="28"/>
                <w:szCs w:val="28"/>
                <w:u w:val="none"/>
                <w:lang w:val="en-US" w:eastAsia="zh-CN" w:bidi="ar"/>
              </w:rPr>
              <w:t>量化目标</w:t>
            </w:r>
          </w:p>
        </w:tc>
        <w:tc>
          <w:tcPr>
            <w:tcW w:w="2234" w:type="dxa"/>
            <w:tcBorders>
              <w:top w:val="single" w:color="000000" w:sz="8" w:space="0"/>
              <w:left w:val="nil"/>
              <w:bottom w:val="single" w:color="000000" w:sz="8" w:space="0"/>
              <w:right w:val="single" w:color="000000" w:sz="8" w:space="0"/>
            </w:tcBorders>
            <w:shd w:val="clear" w:color="auto" w:fill="auto"/>
            <w:vAlign w:val="center"/>
          </w:tcPr>
          <w:p w14:paraId="38829B7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auto"/>
                <w:sz w:val="28"/>
                <w:szCs w:val="28"/>
                <w:u w:val="none"/>
              </w:rPr>
            </w:pPr>
            <w:r>
              <w:rPr>
                <w:rFonts w:hint="eastAsia" w:ascii="仿宋_GB2312" w:hAnsi="仿宋_GB2312" w:eastAsia="仿宋_GB2312" w:cs="仿宋_GB2312"/>
                <w:b/>
                <w:bCs/>
                <w:i w:val="0"/>
                <w:iCs w:val="0"/>
                <w:color w:val="auto"/>
                <w:kern w:val="0"/>
                <w:sz w:val="28"/>
                <w:szCs w:val="28"/>
                <w:u w:val="none"/>
                <w:lang w:val="en-US" w:eastAsia="zh-CN" w:bidi="ar"/>
              </w:rPr>
              <w:t>预期收益</w:t>
            </w:r>
          </w:p>
        </w:tc>
        <w:tc>
          <w:tcPr>
            <w:tcW w:w="1216" w:type="dxa"/>
            <w:tcBorders>
              <w:top w:val="single" w:color="000000" w:sz="8" w:space="0"/>
              <w:left w:val="nil"/>
              <w:bottom w:val="single" w:color="000000" w:sz="8" w:space="0"/>
              <w:right w:val="single" w:color="000000" w:sz="8" w:space="0"/>
            </w:tcBorders>
            <w:shd w:val="clear" w:color="auto" w:fill="auto"/>
            <w:vAlign w:val="center"/>
          </w:tcPr>
          <w:p w14:paraId="77CE83C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总投资</w:t>
            </w:r>
          </w:p>
          <w:p w14:paraId="35B6860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auto"/>
                <w:sz w:val="28"/>
                <w:szCs w:val="28"/>
                <w:u w:val="none"/>
              </w:rPr>
            </w:pPr>
            <w:r>
              <w:rPr>
                <w:rFonts w:hint="eastAsia" w:ascii="仿宋_GB2312" w:hAnsi="仿宋_GB2312" w:eastAsia="仿宋_GB2312" w:cs="仿宋_GB2312"/>
                <w:b/>
                <w:bCs/>
                <w:i w:val="0"/>
                <w:iCs w:val="0"/>
                <w:color w:val="auto"/>
                <w:kern w:val="0"/>
                <w:sz w:val="28"/>
                <w:szCs w:val="28"/>
                <w:u w:val="none"/>
                <w:lang w:val="en-US" w:eastAsia="zh-CN" w:bidi="ar"/>
              </w:rPr>
              <w:t>（万）</w:t>
            </w:r>
          </w:p>
        </w:tc>
        <w:tc>
          <w:tcPr>
            <w:tcW w:w="1061" w:type="dxa"/>
            <w:tcBorders>
              <w:top w:val="single" w:color="000000" w:sz="8" w:space="0"/>
              <w:left w:val="nil"/>
              <w:bottom w:val="single" w:color="000000" w:sz="8" w:space="0"/>
              <w:right w:val="single" w:color="000000" w:sz="8" w:space="0"/>
            </w:tcBorders>
            <w:shd w:val="clear" w:color="auto" w:fill="auto"/>
            <w:vAlign w:val="center"/>
          </w:tcPr>
          <w:p w14:paraId="323FF3ED">
            <w:pPr>
              <w:keepNext w:val="0"/>
              <w:keepLines w:val="0"/>
              <w:widowControl/>
              <w:suppressLineNumbers w:val="0"/>
              <w:snapToGrid w:val="0"/>
              <w:ind w:left="0" w:leftChars="0" w:right="0" w:rightChars="0" w:firstLine="0" w:firstLineChars="0"/>
              <w:jc w:val="center"/>
              <w:textAlignment w:val="center"/>
              <w:rPr>
                <w:rStyle w:val="21"/>
                <w:rFonts w:hint="eastAsia" w:ascii="仿宋_GB2312" w:hAnsi="仿宋_GB2312" w:eastAsia="仿宋_GB2312" w:cs="仿宋_GB2312"/>
                <w:b/>
                <w:color w:val="auto"/>
                <w:sz w:val="28"/>
                <w:szCs w:val="28"/>
                <w:lang w:val="en-US" w:eastAsia="zh-CN" w:bidi="ar"/>
              </w:rPr>
            </w:pPr>
            <w:r>
              <w:rPr>
                <w:rStyle w:val="21"/>
                <w:rFonts w:hint="eastAsia" w:ascii="仿宋_GB2312" w:hAnsi="仿宋_GB2312" w:eastAsia="仿宋_GB2312" w:cs="仿宋_GB2312"/>
                <w:b/>
                <w:color w:val="auto"/>
                <w:sz w:val="28"/>
                <w:szCs w:val="28"/>
                <w:lang w:val="en-US" w:eastAsia="zh-CN" w:bidi="ar"/>
              </w:rPr>
              <w:t>年投入</w:t>
            </w:r>
          </w:p>
          <w:p w14:paraId="4526F6A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auto"/>
                <w:sz w:val="28"/>
                <w:szCs w:val="28"/>
                <w:u w:val="none"/>
              </w:rPr>
            </w:pPr>
            <w:r>
              <w:rPr>
                <w:rStyle w:val="21"/>
                <w:rFonts w:hint="eastAsia" w:ascii="仿宋_GB2312" w:hAnsi="仿宋_GB2312" w:eastAsia="仿宋_GB2312" w:cs="仿宋_GB2312"/>
                <w:b/>
                <w:color w:val="auto"/>
                <w:sz w:val="28"/>
                <w:szCs w:val="28"/>
                <w:lang w:val="en-US" w:eastAsia="zh-CN" w:bidi="ar"/>
              </w:rPr>
              <w:t>（万）</w:t>
            </w:r>
          </w:p>
        </w:tc>
        <w:tc>
          <w:tcPr>
            <w:tcW w:w="639" w:type="dxa"/>
            <w:tcBorders>
              <w:top w:val="single" w:color="000000" w:sz="8" w:space="0"/>
              <w:left w:val="nil"/>
              <w:bottom w:val="single" w:color="000000" w:sz="8" w:space="0"/>
              <w:right w:val="single" w:color="000000" w:sz="8" w:space="0"/>
            </w:tcBorders>
            <w:shd w:val="clear" w:color="auto" w:fill="auto"/>
            <w:vAlign w:val="center"/>
          </w:tcPr>
          <w:p w14:paraId="50C1572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bCs/>
                <w:i w:val="0"/>
                <w:iCs w:val="0"/>
                <w:color w:val="auto"/>
                <w:sz w:val="28"/>
                <w:szCs w:val="28"/>
                <w:u w:val="none"/>
              </w:rPr>
            </w:pPr>
            <w:r>
              <w:rPr>
                <w:rFonts w:hint="eastAsia" w:ascii="仿宋_GB2312" w:hAnsi="仿宋_GB2312" w:eastAsia="仿宋_GB2312" w:cs="仿宋_GB2312"/>
                <w:b/>
                <w:bCs/>
                <w:i w:val="0"/>
                <w:iCs w:val="0"/>
                <w:color w:val="auto"/>
                <w:kern w:val="0"/>
                <w:sz w:val="28"/>
                <w:szCs w:val="28"/>
                <w:u w:val="none"/>
                <w:lang w:val="en-US" w:eastAsia="zh-CN" w:bidi="ar"/>
              </w:rPr>
              <w:t>备注</w:t>
            </w:r>
          </w:p>
        </w:tc>
      </w:tr>
      <w:tr w14:paraId="2D60A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586" w:hRule="atLeast"/>
          <w:jc w:val="center"/>
        </w:trPr>
        <w:tc>
          <w:tcPr>
            <w:tcW w:w="868" w:type="dxa"/>
            <w:vMerge w:val="restart"/>
            <w:tcBorders>
              <w:top w:val="nil"/>
              <w:left w:val="single" w:color="000000" w:sz="8" w:space="0"/>
              <w:right w:val="single" w:color="000000" w:sz="8" w:space="0"/>
            </w:tcBorders>
            <w:shd w:val="clear" w:color="auto" w:fill="auto"/>
            <w:vAlign w:val="center"/>
          </w:tcPr>
          <w:p w14:paraId="4BAB3EC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color w:val="auto"/>
                <w:sz w:val="21"/>
                <w:szCs w:val="21"/>
                <w:highlight w:val="none"/>
                <w:lang w:val="en-US" w:eastAsia="zh-CN"/>
              </w:rPr>
            </w:pPr>
            <w:r>
              <w:rPr>
                <w:rFonts w:hint="eastAsia" w:ascii="仿宋_GB2312" w:hAnsi="仿宋_GB2312" w:eastAsia="仿宋_GB2312" w:cs="仿宋_GB2312"/>
                <w:b w:val="0"/>
                <w:bCs/>
                <w:color w:val="auto"/>
                <w:sz w:val="21"/>
                <w:szCs w:val="21"/>
                <w:highlight w:val="none"/>
                <w:lang w:val="en-US" w:eastAsia="zh-CN"/>
              </w:rPr>
              <w:t>阵地</w:t>
            </w:r>
          </w:p>
          <w:p w14:paraId="6EFBD01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color w:val="auto"/>
                <w:sz w:val="21"/>
                <w:szCs w:val="21"/>
                <w:highlight w:val="none"/>
                <w:lang w:val="en-US" w:eastAsia="zh-CN"/>
              </w:rPr>
            </w:pPr>
            <w:r>
              <w:rPr>
                <w:rFonts w:hint="eastAsia" w:ascii="仿宋_GB2312" w:hAnsi="仿宋_GB2312" w:eastAsia="仿宋_GB2312" w:cs="仿宋_GB2312"/>
                <w:b w:val="0"/>
                <w:bCs/>
                <w:color w:val="auto"/>
                <w:sz w:val="21"/>
                <w:szCs w:val="21"/>
                <w:highlight w:val="none"/>
                <w:lang w:val="en-US" w:eastAsia="zh-CN"/>
              </w:rPr>
              <w:t>建设</w:t>
            </w:r>
          </w:p>
          <w:p w14:paraId="4D3FD00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color w:val="auto"/>
                <w:sz w:val="28"/>
                <w:szCs w:val="28"/>
                <w:highlight w:val="none"/>
                <w:lang w:val="en-US" w:eastAsia="zh-CN"/>
              </w:rPr>
            </w:pPr>
          </w:p>
        </w:tc>
        <w:tc>
          <w:tcPr>
            <w:tcW w:w="1074" w:type="dxa"/>
            <w:tcBorders>
              <w:top w:val="nil"/>
              <w:left w:val="nil"/>
              <w:bottom w:val="single" w:color="000000" w:sz="8" w:space="0"/>
              <w:right w:val="single" w:color="000000" w:sz="8" w:space="0"/>
            </w:tcBorders>
            <w:shd w:val="clear" w:color="auto" w:fill="auto"/>
            <w:vAlign w:val="center"/>
          </w:tcPr>
          <w:p w14:paraId="623C8E3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color w:val="auto"/>
                <w:kern w:val="2"/>
                <w:sz w:val="21"/>
                <w:szCs w:val="21"/>
                <w:highlight w:val="none"/>
                <w:lang w:val="en-US" w:eastAsia="zh-CN" w:bidi="ar-SA"/>
              </w:rPr>
            </w:pPr>
            <w:r>
              <w:rPr>
                <w:rFonts w:hint="eastAsia" w:ascii="仿宋_GB2312" w:hAnsi="仿宋_GB2312" w:eastAsia="仿宋_GB2312" w:cs="仿宋_GB2312"/>
                <w:b w:val="0"/>
                <w:bCs/>
                <w:color w:val="auto"/>
                <w:sz w:val="21"/>
                <w:szCs w:val="21"/>
                <w:highlight w:val="none"/>
                <w:lang w:val="en-US" w:eastAsia="zh-CN"/>
              </w:rPr>
              <w:t>家庭教育指导服务中心</w:t>
            </w:r>
          </w:p>
        </w:tc>
        <w:tc>
          <w:tcPr>
            <w:tcW w:w="475" w:type="dxa"/>
            <w:tcBorders>
              <w:top w:val="nil"/>
              <w:left w:val="nil"/>
              <w:bottom w:val="single" w:color="000000" w:sz="8" w:space="0"/>
              <w:right w:val="single" w:color="000000" w:sz="8" w:space="0"/>
            </w:tcBorders>
            <w:shd w:val="clear" w:color="auto" w:fill="auto"/>
            <w:vAlign w:val="center"/>
          </w:tcPr>
          <w:p w14:paraId="20E4035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color w:val="auto"/>
                <w:kern w:val="2"/>
                <w:sz w:val="21"/>
                <w:szCs w:val="21"/>
                <w:highlight w:val="none"/>
                <w:lang w:val="en-US" w:eastAsia="zh-CN" w:bidi="ar-SA"/>
              </w:rPr>
            </w:pPr>
            <w:r>
              <w:rPr>
                <w:rFonts w:hint="eastAsia" w:ascii="仿宋_GB2312" w:hAnsi="仿宋_GB2312" w:eastAsia="仿宋_GB2312" w:cs="仿宋_GB2312"/>
                <w:b w:val="0"/>
                <w:bCs/>
                <w:color w:val="auto"/>
                <w:sz w:val="21"/>
                <w:szCs w:val="21"/>
                <w:highlight w:val="none"/>
                <w:lang w:val="en-US" w:eastAsia="zh-CN"/>
              </w:rPr>
              <w:t>固投</w:t>
            </w:r>
          </w:p>
        </w:tc>
        <w:tc>
          <w:tcPr>
            <w:tcW w:w="1510" w:type="dxa"/>
            <w:tcBorders>
              <w:top w:val="nil"/>
              <w:left w:val="nil"/>
              <w:bottom w:val="single" w:color="000000" w:sz="8" w:space="0"/>
              <w:right w:val="single" w:color="000000" w:sz="8" w:space="0"/>
            </w:tcBorders>
            <w:shd w:val="clear" w:color="auto" w:fill="auto"/>
            <w:vAlign w:val="center"/>
          </w:tcPr>
          <w:p w14:paraId="4BB3CEE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color w:val="auto"/>
                <w:sz w:val="21"/>
                <w:szCs w:val="21"/>
                <w:highlight w:val="none"/>
                <w:lang w:val="en-US" w:eastAsia="zh-CN"/>
              </w:rPr>
            </w:pPr>
            <w:r>
              <w:rPr>
                <w:rFonts w:hint="eastAsia" w:ascii="仿宋_GB2312" w:hAnsi="仿宋_GB2312" w:eastAsia="仿宋_GB2312" w:cs="仿宋_GB2312"/>
                <w:b w:val="0"/>
                <w:bCs/>
                <w:color w:val="auto"/>
                <w:sz w:val="21"/>
                <w:szCs w:val="21"/>
                <w:highlight w:val="none"/>
                <w:lang w:val="en-US" w:eastAsia="zh-CN"/>
              </w:rPr>
              <w:t>师市</w:t>
            </w:r>
          </w:p>
          <w:p w14:paraId="1800A6A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color w:val="auto"/>
                <w:kern w:val="2"/>
                <w:sz w:val="21"/>
                <w:szCs w:val="21"/>
                <w:highlight w:val="none"/>
                <w:lang w:val="en-US" w:eastAsia="zh-CN" w:bidi="ar-SA"/>
              </w:rPr>
            </w:pPr>
            <w:r>
              <w:rPr>
                <w:rFonts w:hint="eastAsia" w:ascii="仿宋_GB2312" w:hAnsi="仿宋_GB2312" w:eastAsia="仿宋_GB2312" w:cs="仿宋_GB2312"/>
                <w:b w:val="0"/>
                <w:bCs/>
                <w:color w:val="auto"/>
                <w:sz w:val="21"/>
                <w:szCs w:val="21"/>
                <w:highlight w:val="none"/>
                <w:lang w:val="en-US" w:eastAsia="zh-CN"/>
              </w:rPr>
              <w:t>妇联</w:t>
            </w:r>
          </w:p>
        </w:tc>
        <w:tc>
          <w:tcPr>
            <w:tcW w:w="2474" w:type="dxa"/>
            <w:tcBorders>
              <w:top w:val="nil"/>
              <w:left w:val="nil"/>
              <w:bottom w:val="single" w:color="000000" w:sz="8" w:space="0"/>
              <w:right w:val="single" w:color="000000" w:sz="8" w:space="0"/>
            </w:tcBorders>
            <w:shd w:val="clear" w:color="auto" w:fill="auto"/>
            <w:vAlign w:val="center"/>
          </w:tcPr>
          <w:p w14:paraId="6B05849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color w:val="auto"/>
                <w:kern w:val="2"/>
                <w:sz w:val="21"/>
                <w:szCs w:val="21"/>
                <w:highlight w:val="none"/>
                <w:lang w:val="en-US" w:eastAsia="zh-CN" w:bidi="ar-SA"/>
              </w:rPr>
            </w:pPr>
            <w:r>
              <w:rPr>
                <w:rFonts w:hint="eastAsia" w:ascii="仿宋_GB2312" w:hAnsi="仿宋_GB2312" w:eastAsia="仿宋_GB2312" w:cs="仿宋_GB2312"/>
                <w:b w:val="0"/>
                <w:bCs/>
                <w:color w:val="auto"/>
                <w:sz w:val="21"/>
                <w:szCs w:val="21"/>
                <w:highlight w:val="none"/>
                <w:lang w:val="en-US" w:eastAsia="zh-CN"/>
              </w:rPr>
              <w:t>统筹使用现有资源，结合师级作用发挥和中心需求，进行局部装修和设备购买</w:t>
            </w:r>
          </w:p>
        </w:tc>
        <w:tc>
          <w:tcPr>
            <w:tcW w:w="950" w:type="dxa"/>
            <w:tcBorders>
              <w:top w:val="nil"/>
              <w:left w:val="nil"/>
              <w:bottom w:val="single" w:color="000000" w:sz="8" w:space="0"/>
              <w:right w:val="single" w:color="000000" w:sz="8" w:space="0"/>
            </w:tcBorders>
            <w:shd w:val="clear" w:color="auto" w:fill="auto"/>
            <w:vAlign w:val="center"/>
          </w:tcPr>
          <w:p w14:paraId="46556CF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color w:val="auto"/>
                <w:kern w:val="2"/>
                <w:sz w:val="21"/>
                <w:szCs w:val="21"/>
                <w:highlight w:val="none"/>
                <w:lang w:val="en-US" w:eastAsia="zh-CN" w:bidi="ar-SA"/>
              </w:rPr>
            </w:pPr>
            <w:r>
              <w:rPr>
                <w:rFonts w:hint="eastAsia" w:ascii="仿宋_GB2312" w:hAnsi="仿宋_GB2312" w:eastAsia="仿宋_GB2312" w:cs="仿宋_GB2312"/>
                <w:b w:val="0"/>
                <w:bCs/>
                <w:color w:val="auto"/>
                <w:sz w:val="21"/>
                <w:szCs w:val="21"/>
                <w:highlight w:val="none"/>
                <w:lang w:val="en-US" w:eastAsia="zh-CN"/>
              </w:rPr>
              <w:t>新星市</w:t>
            </w:r>
          </w:p>
        </w:tc>
        <w:tc>
          <w:tcPr>
            <w:tcW w:w="882" w:type="dxa"/>
            <w:tcBorders>
              <w:top w:val="nil"/>
              <w:left w:val="nil"/>
              <w:bottom w:val="single" w:color="000000" w:sz="8" w:space="0"/>
              <w:right w:val="single" w:color="000000" w:sz="8" w:space="0"/>
            </w:tcBorders>
            <w:shd w:val="clear" w:color="auto" w:fill="auto"/>
            <w:vAlign w:val="center"/>
          </w:tcPr>
          <w:p w14:paraId="5CBA28A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color w:val="auto"/>
                <w:sz w:val="21"/>
                <w:szCs w:val="21"/>
                <w:highlight w:val="none"/>
                <w:lang w:val="en-US" w:eastAsia="zh-CN"/>
              </w:rPr>
            </w:pPr>
            <w:r>
              <w:rPr>
                <w:rFonts w:hint="default" w:ascii="Times New Roman" w:hAnsi="Times New Roman" w:eastAsia="仿宋_GB2312" w:cs="Times New Roman"/>
                <w:b w:val="0"/>
                <w:bCs/>
                <w:color w:val="auto"/>
                <w:sz w:val="21"/>
                <w:szCs w:val="21"/>
                <w:highlight w:val="none"/>
                <w:lang w:val="en-US" w:eastAsia="zh-CN"/>
              </w:rPr>
              <w:t>2026</w:t>
            </w:r>
            <w:r>
              <w:rPr>
                <w:rFonts w:hint="eastAsia" w:ascii="仿宋_GB2312" w:hAnsi="仿宋_GB2312" w:eastAsia="仿宋_GB2312" w:cs="仿宋_GB2312"/>
                <w:b w:val="0"/>
                <w:bCs/>
                <w:color w:val="auto"/>
                <w:sz w:val="21"/>
                <w:szCs w:val="21"/>
                <w:highlight w:val="none"/>
                <w:lang w:val="en-US" w:eastAsia="zh-CN"/>
              </w:rPr>
              <w:t>-</w:t>
            </w:r>
          </w:p>
          <w:p w14:paraId="5F0C988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color w:val="auto"/>
                <w:kern w:val="2"/>
                <w:sz w:val="21"/>
                <w:szCs w:val="21"/>
                <w:highlight w:val="none"/>
                <w:lang w:val="en-US" w:eastAsia="zh-CN" w:bidi="ar-SA"/>
              </w:rPr>
            </w:pPr>
            <w:r>
              <w:rPr>
                <w:rFonts w:hint="default" w:ascii="Times New Roman" w:hAnsi="Times New Roman" w:eastAsia="仿宋_GB2312" w:cs="Times New Roman"/>
                <w:b w:val="0"/>
                <w:bCs/>
                <w:color w:val="auto"/>
                <w:sz w:val="21"/>
                <w:szCs w:val="21"/>
                <w:highlight w:val="none"/>
                <w:lang w:val="en-US" w:eastAsia="zh-CN"/>
              </w:rPr>
              <w:t>2027</w:t>
            </w:r>
          </w:p>
        </w:tc>
        <w:tc>
          <w:tcPr>
            <w:tcW w:w="2335" w:type="dxa"/>
            <w:tcBorders>
              <w:top w:val="nil"/>
              <w:left w:val="nil"/>
              <w:bottom w:val="single" w:color="000000" w:sz="8" w:space="0"/>
              <w:right w:val="single" w:color="000000" w:sz="8" w:space="0"/>
            </w:tcBorders>
            <w:shd w:val="clear" w:color="auto" w:fill="auto"/>
            <w:vAlign w:val="center"/>
          </w:tcPr>
          <w:p w14:paraId="1DA07AE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color w:val="auto"/>
                <w:kern w:val="2"/>
                <w:sz w:val="21"/>
                <w:szCs w:val="21"/>
                <w:highlight w:val="none"/>
                <w:lang w:val="en-US" w:eastAsia="zh-CN" w:bidi="ar-SA"/>
              </w:rPr>
            </w:pPr>
            <w:r>
              <w:rPr>
                <w:rFonts w:hint="eastAsia" w:ascii="仿宋_GB2312" w:hAnsi="仿宋_GB2312" w:eastAsia="仿宋_GB2312" w:cs="仿宋_GB2312"/>
                <w:b w:val="0"/>
                <w:bCs/>
                <w:color w:val="auto"/>
                <w:sz w:val="21"/>
                <w:szCs w:val="21"/>
                <w:highlight w:val="none"/>
                <w:lang w:val="en-US" w:eastAsia="zh-CN"/>
              </w:rPr>
              <w:t>大屏、服务器、智能化心理辅导设备、办公、软装等</w:t>
            </w:r>
          </w:p>
        </w:tc>
        <w:tc>
          <w:tcPr>
            <w:tcW w:w="2234" w:type="dxa"/>
            <w:tcBorders>
              <w:top w:val="nil"/>
              <w:left w:val="nil"/>
              <w:bottom w:val="single" w:color="000000" w:sz="8" w:space="0"/>
              <w:right w:val="single" w:color="000000" w:sz="8" w:space="0"/>
            </w:tcBorders>
            <w:shd w:val="clear" w:color="auto" w:fill="auto"/>
            <w:vAlign w:val="center"/>
          </w:tcPr>
          <w:p w14:paraId="37924EC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color w:val="auto"/>
                <w:sz w:val="21"/>
                <w:szCs w:val="21"/>
                <w:highlight w:val="none"/>
                <w:lang w:val="en-US" w:eastAsia="zh-CN"/>
              </w:rPr>
            </w:pPr>
            <w:r>
              <w:rPr>
                <w:rStyle w:val="23"/>
                <w:rFonts w:hint="eastAsia" w:ascii="Times New Roman" w:hAnsi="Times New Roman" w:eastAsia="仿宋_GB2312" w:cs="Times New Roman"/>
                <w:color w:val="auto"/>
                <w:sz w:val="21"/>
                <w:szCs w:val="21"/>
                <w:lang w:val="en-US" w:eastAsia="zh-CN" w:bidi="ar"/>
              </w:rPr>
              <w:t>1.</w:t>
            </w:r>
            <w:r>
              <w:rPr>
                <w:rFonts w:hint="eastAsia" w:ascii="仿宋_GB2312" w:hAnsi="仿宋_GB2312" w:eastAsia="仿宋_GB2312" w:cs="仿宋_GB2312"/>
                <w:b w:val="0"/>
                <w:bCs/>
                <w:color w:val="auto"/>
                <w:sz w:val="21"/>
                <w:szCs w:val="21"/>
                <w:highlight w:val="none"/>
                <w:lang w:val="en-US" w:eastAsia="zh-CN"/>
              </w:rPr>
              <w:t>新星智慧家教平台；</w:t>
            </w:r>
          </w:p>
          <w:p w14:paraId="04C6801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_GB2312" w:hAnsi="仿宋_GB2312" w:eastAsia="仿宋_GB2312" w:cs="仿宋_GB2312"/>
                <w:b w:val="0"/>
                <w:bCs/>
                <w:color w:val="auto"/>
                <w:sz w:val="21"/>
                <w:szCs w:val="21"/>
                <w:highlight w:val="none"/>
                <w:lang w:val="en-US" w:eastAsia="zh-CN"/>
              </w:rPr>
            </w:pPr>
            <w:r>
              <w:rPr>
                <w:rStyle w:val="23"/>
                <w:rFonts w:hint="eastAsia" w:ascii="Times New Roman" w:hAnsi="Times New Roman" w:eastAsia="仿宋_GB2312" w:cs="Times New Roman"/>
                <w:color w:val="auto"/>
                <w:sz w:val="21"/>
                <w:szCs w:val="21"/>
                <w:lang w:val="en-US" w:eastAsia="zh-CN" w:bidi="ar"/>
              </w:rPr>
              <w:t>2.</w:t>
            </w:r>
            <w:r>
              <w:rPr>
                <w:rFonts w:hint="eastAsia" w:ascii="仿宋_GB2312" w:hAnsi="仿宋_GB2312" w:eastAsia="仿宋_GB2312" w:cs="仿宋_GB2312"/>
                <w:b w:val="0"/>
                <w:bCs/>
                <w:color w:val="auto"/>
                <w:sz w:val="21"/>
                <w:szCs w:val="21"/>
                <w:highlight w:val="none"/>
                <w:lang w:val="en-US" w:eastAsia="zh-CN"/>
              </w:rPr>
              <w:t>心理咨询室；</w:t>
            </w:r>
          </w:p>
          <w:p w14:paraId="3DCFD7B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_GB2312" w:hAnsi="仿宋_GB2312" w:eastAsia="仿宋_GB2312" w:cs="仿宋_GB2312"/>
                <w:b w:val="0"/>
                <w:bCs/>
                <w:color w:val="auto"/>
                <w:sz w:val="21"/>
                <w:szCs w:val="21"/>
                <w:highlight w:val="none"/>
                <w:lang w:val="en-US" w:eastAsia="zh-CN"/>
              </w:rPr>
            </w:pPr>
            <w:r>
              <w:rPr>
                <w:rStyle w:val="23"/>
                <w:rFonts w:hint="eastAsia" w:ascii="Times New Roman" w:hAnsi="Times New Roman" w:eastAsia="仿宋_GB2312" w:cs="Times New Roman"/>
                <w:color w:val="auto"/>
                <w:sz w:val="21"/>
                <w:szCs w:val="21"/>
                <w:lang w:val="en-US" w:eastAsia="zh-CN" w:bidi="ar"/>
              </w:rPr>
              <w:t>3.</w:t>
            </w:r>
            <w:r>
              <w:rPr>
                <w:rFonts w:hint="eastAsia" w:ascii="仿宋_GB2312" w:hAnsi="仿宋_GB2312" w:eastAsia="仿宋_GB2312" w:cs="仿宋_GB2312"/>
                <w:b w:val="0"/>
                <w:bCs/>
                <w:color w:val="auto"/>
                <w:sz w:val="21"/>
                <w:szCs w:val="21"/>
                <w:highlight w:val="none"/>
                <w:lang w:val="en-US" w:eastAsia="zh-CN"/>
              </w:rPr>
              <w:t>团体辅导室；</w:t>
            </w:r>
          </w:p>
          <w:p w14:paraId="1234DC8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_GB2312" w:hAnsi="仿宋_GB2312" w:eastAsia="仿宋_GB2312" w:cs="仿宋_GB2312"/>
                <w:b w:val="0"/>
                <w:bCs/>
                <w:color w:val="auto"/>
                <w:kern w:val="2"/>
                <w:sz w:val="21"/>
                <w:szCs w:val="21"/>
                <w:highlight w:val="none"/>
                <w:lang w:val="en-US" w:eastAsia="zh-CN" w:bidi="ar-SA"/>
              </w:rPr>
            </w:pPr>
            <w:r>
              <w:rPr>
                <w:rStyle w:val="23"/>
                <w:rFonts w:hint="eastAsia" w:ascii="Times New Roman" w:hAnsi="Times New Roman" w:eastAsia="仿宋_GB2312" w:cs="Times New Roman"/>
                <w:color w:val="auto"/>
                <w:sz w:val="21"/>
                <w:szCs w:val="21"/>
                <w:lang w:val="en-US" w:eastAsia="zh-CN" w:bidi="ar"/>
              </w:rPr>
              <w:t>4.</w:t>
            </w:r>
            <w:r>
              <w:rPr>
                <w:rFonts w:hint="eastAsia" w:ascii="仿宋_GB2312" w:hAnsi="仿宋_GB2312" w:eastAsia="仿宋_GB2312" w:cs="仿宋_GB2312"/>
                <w:b w:val="0"/>
                <w:bCs/>
                <w:color w:val="auto"/>
                <w:sz w:val="21"/>
                <w:szCs w:val="21"/>
                <w:highlight w:val="none"/>
                <w:lang w:val="en-US" w:eastAsia="zh-CN"/>
              </w:rPr>
              <w:t>亲子活动室。</w:t>
            </w:r>
          </w:p>
        </w:tc>
        <w:tc>
          <w:tcPr>
            <w:tcW w:w="1216" w:type="dxa"/>
            <w:tcBorders>
              <w:top w:val="nil"/>
              <w:left w:val="nil"/>
              <w:bottom w:val="single" w:color="000000" w:sz="8" w:space="0"/>
              <w:right w:val="single" w:color="000000" w:sz="8" w:space="0"/>
            </w:tcBorders>
            <w:shd w:val="clear" w:color="auto" w:fill="auto"/>
            <w:vAlign w:val="center"/>
          </w:tcPr>
          <w:p w14:paraId="76D705D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color w:val="auto"/>
                <w:kern w:val="2"/>
                <w:sz w:val="21"/>
                <w:szCs w:val="21"/>
                <w:highlight w:val="none"/>
                <w:lang w:val="en-US" w:eastAsia="zh-CN" w:bidi="ar-SA"/>
              </w:rPr>
            </w:pPr>
            <w:r>
              <w:rPr>
                <w:rFonts w:hint="default" w:ascii="Times New Roman" w:hAnsi="Times New Roman" w:eastAsia="仿宋_GB2312" w:cs="Times New Roman"/>
                <w:b w:val="0"/>
                <w:bCs/>
                <w:color w:val="auto"/>
                <w:sz w:val="21"/>
                <w:szCs w:val="21"/>
                <w:highlight w:val="none"/>
                <w:lang w:val="en-US" w:eastAsia="zh-CN"/>
              </w:rPr>
              <w:t>30</w:t>
            </w:r>
          </w:p>
        </w:tc>
        <w:tc>
          <w:tcPr>
            <w:tcW w:w="1061" w:type="dxa"/>
            <w:tcBorders>
              <w:top w:val="nil"/>
              <w:left w:val="nil"/>
              <w:bottom w:val="single" w:color="000000" w:sz="8" w:space="0"/>
              <w:right w:val="single" w:color="auto" w:sz="4" w:space="0"/>
            </w:tcBorders>
            <w:shd w:val="clear" w:color="auto" w:fill="auto"/>
            <w:vAlign w:val="center"/>
          </w:tcPr>
          <w:p w14:paraId="5363032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color w:val="auto"/>
                <w:kern w:val="2"/>
                <w:sz w:val="21"/>
                <w:szCs w:val="21"/>
                <w:highlight w:val="none"/>
                <w:lang w:val="en-US" w:eastAsia="zh-CN" w:bidi="ar-SA"/>
              </w:rPr>
            </w:pPr>
          </w:p>
        </w:tc>
        <w:tc>
          <w:tcPr>
            <w:tcW w:w="639" w:type="dxa"/>
            <w:tcBorders>
              <w:top w:val="nil"/>
              <w:left w:val="single" w:color="auto" w:sz="4" w:space="0"/>
              <w:bottom w:val="single" w:color="auto" w:sz="4" w:space="0"/>
              <w:right w:val="single" w:color="000000" w:sz="8" w:space="0"/>
            </w:tcBorders>
            <w:shd w:val="clear" w:color="auto" w:fill="auto"/>
            <w:vAlign w:val="center"/>
          </w:tcPr>
          <w:p w14:paraId="08ACB5E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r>
      <w:tr w14:paraId="64CEC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054" w:hRule="atLeast"/>
          <w:jc w:val="center"/>
        </w:trPr>
        <w:tc>
          <w:tcPr>
            <w:tcW w:w="868" w:type="dxa"/>
            <w:vMerge w:val="continue"/>
            <w:tcBorders>
              <w:left w:val="single" w:color="000000" w:sz="8" w:space="0"/>
              <w:bottom w:val="single" w:color="000000" w:sz="8" w:space="0"/>
              <w:right w:val="single" w:color="000000" w:sz="8" w:space="0"/>
            </w:tcBorders>
            <w:shd w:val="clear" w:color="auto" w:fill="auto"/>
            <w:vAlign w:val="center"/>
          </w:tcPr>
          <w:p w14:paraId="44277F9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color w:val="auto"/>
                <w:sz w:val="28"/>
                <w:szCs w:val="28"/>
                <w:highlight w:val="none"/>
                <w:lang w:val="en-US" w:eastAsia="zh-CN"/>
              </w:rPr>
            </w:pPr>
          </w:p>
        </w:tc>
        <w:tc>
          <w:tcPr>
            <w:tcW w:w="1074" w:type="dxa"/>
            <w:tcBorders>
              <w:top w:val="nil"/>
              <w:left w:val="nil"/>
              <w:bottom w:val="single" w:color="000000" w:sz="8" w:space="0"/>
              <w:right w:val="single" w:color="000000" w:sz="8" w:space="0"/>
            </w:tcBorders>
            <w:shd w:val="clear" w:color="auto" w:fill="auto"/>
            <w:vAlign w:val="center"/>
          </w:tcPr>
          <w:p w14:paraId="417615E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kern w:val="2"/>
                <w:sz w:val="21"/>
                <w:szCs w:val="21"/>
                <w:highlight w:val="none"/>
                <w:lang w:val="en-US" w:eastAsia="zh-CN" w:bidi="ar-SA"/>
              </w:rPr>
            </w:pPr>
            <w:r>
              <w:rPr>
                <w:rFonts w:hint="eastAsia" w:ascii="仿宋_GB2312" w:hAnsi="仿宋_GB2312" w:eastAsia="仿宋_GB2312" w:cs="仿宋_GB2312"/>
                <w:b w:val="0"/>
                <w:bCs/>
                <w:color w:val="auto"/>
                <w:sz w:val="21"/>
                <w:szCs w:val="21"/>
                <w:highlight w:val="none"/>
                <w:lang w:val="en-US" w:eastAsia="zh-CN"/>
              </w:rPr>
              <w:t>社区家长学校建设</w:t>
            </w:r>
          </w:p>
        </w:tc>
        <w:tc>
          <w:tcPr>
            <w:tcW w:w="475" w:type="dxa"/>
            <w:tcBorders>
              <w:top w:val="nil"/>
              <w:left w:val="nil"/>
              <w:bottom w:val="single" w:color="000000" w:sz="8" w:space="0"/>
              <w:right w:val="single" w:color="000000" w:sz="8" w:space="0"/>
            </w:tcBorders>
            <w:shd w:val="clear" w:color="auto" w:fill="auto"/>
            <w:vAlign w:val="center"/>
          </w:tcPr>
          <w:p w14:paraId="0370EB0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kern w:val="2"/>
                <w:sz w:val="21"/>
                <w:szCs w:val="21"/>
                <w:highlight w:val="none"/>
                <w:lang w:val="en-US" w:eastAsia="zh-CN" w:bidi="ar-SA"/>
              </w:rPr>
            </w:pPr>
            <w:r>
              <w:rPr>
                <w:rFonts w:hint="eastAsia" w:ascii="仿宋_GB2312" w:hAnsi="仿宋_GB2312" w:eastAsia="仿宋_GB2312" w:cs="仿宋_GB2312"/>
                <w:b w:val="0"/>
                <w:bCs/>
                <w:color w:val="auto"/>
                <w:kern w:val="2"/>
                <w:sz w:val="21"/>
                <w:szCs w:val="21"/>
                <w:highlight w:val="none"/>
                <w:lang w:val="en-US" w:eastAsia="zh-CN" w:bidi="ar-SA"/>
              </w:rPr>
              <w:t>固投</w:t>
            </w:r>
          </w:p>
        </w:tc>
        <w:tc>
          <w:tcPr>
            <w:tcW w:w="1510" w:type="dxa"/>
            <w:tcBorders>
              <w:top w:val="nil"/>
              <w:left w:val="nil"/>
              <w:bottom w:val="single" w:color="000000" w:sz="8" w:space="0"/>
              <w:right w:val="single" w:color="000000" w:sz="8" w:space="0"/>
            </w:tcBorders>
            <w:shd w:val="clear" w:color="auto" w:fill="auto"/>
            <w:vAlign w:val="center"/>
          </w:tcPr>
          <w:p w14:paraId="25CF353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kern w:val="2"/>
                <w:sz w:val="21"/>
                <w:szCs w:val="21"/>
                <w:highlight w:val="none"/>
                <w:lang w:val="en-US" w:eastAsia="zh-CN" w:bidi="ar-SA"/>
              </w:rPr>
            </w:pPr>
            <w:r>
              <w:rPr>
                <w:rFonts w:hint="eastAsia" w:ascii="仿宋_GB2312" w:hAnsi="仿宋_GB2312" w:eastAsia="仿宋_GB2312" w:cs="仿宋_GB2312"/>
                <w:b w:val="0"/>
                <w:bCs/>
                <w:color w:val="auto"/>
                <w:kern w:val="2"/>
                <w:sz w:val="21"/>
                <w:szCs w:val="21"/>
                <w:highlight w:val="none"/>
                <w:lang w:val="en-US" w:eastAsia="zh-CN" w:bidi="ar-SA"/>
              </w:rPr>
              <w:t>师市</w:t>
            </w:r>
          </w:p>
          <w:p w14:paraId="233A776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kern w:val="2"/>
                <w:sz w:val="21"/>
                <w:szCs w:val="21"/>
                <w:highlight w:val="none"/>
                <w:lang w:val="en-US" w:eastAsia="zh-CN" w:bidi="ar-SA"/>
              </w:rPr>
            </w:pPr>
            <w:r>
              <w:rPr>
                <w:rFonts w:hint="eastAsia" w:ascii="仿宋_GB2312" w:hAnsi="仿宋_GB2312" w:eastAsia="仿宋_GB2312" w:cs="仿宋_GB2312"/>
                <w:b w:val="0"/>
                <w:bCs/>
                <w:color w:val="auto"/>
                <w:kern w:val="2"/>
                <w:sz w:val="21"/>
                <w:szCs w:val="21"/>
                <w:highlight w:val="none"/>
                <w:lang w:val="en-US" w:eastAsia="zh-CN" w:bidi="ar-SA"/>
              </w:rPr>
              <w:t>团场</w:t>
            </w:r>
          </w:p>
          <w:p w14:paraId="7625AEE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kern w:val="2"/>
                <w:sz w:val="21"/>
                <w:szCs w:val="21"/>
                <w:highlight w:val="none"/>
                <w:lang w:val="en-US" w:eastAsia="zh-CN" w:bidi="ar-SA"/>
              </w:rPr>
            </w:pPr>
            <w:r>
              <w:rPr>
                <w:rFonts w:hint="eastAsia" w:ascii="仿宋_GB2312" w:hAnsi="仿宋_GB2312" w:eastAsia="仿宋_GB2312" w:cs="仿宋_GB2312"/>
                <w:b w:val="0"/>
                <w:bCs/>
                <w:color w:val="auto"/>
                <w:kern w:val="2"/>
                <w:sz w:val="21"/>
                <w:szCs w:val="21"/>
                <w:highlight w:val="none"/>
                <w:lang w:val="en-US" w:eastAsia="zh-CN" w:bidi="ar-SA"/>
              </w:rPr>
              <w:t>妇联</w:t>
            </w:r>
          </w:p>
        </w:tc>
        <w:tc>
          <w:tcPr>
            <w:tcW w:w="2474" w:type="dxa"/>
            <w:tcBorders>
              <w:top w:val="nil"/>
              <w:left w:val="nil"/>
              <w:bottom w:val="single" w:color="000000" w:sz="8" w:space="0"/>
              <w:right w:val="single" w:color="000000" w:sz="8" w:space="0"/>
            </w:tcBorders>
            <w:shd w:val="clear" w:color="auto" w:fill="auto"/>
            <w:vAlign w:val="center"/>
          </w:tcPr>
          <w:p w14:paraId="38A20D2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kern w:val="2"/>
                <w:sz w:val="21"/>
                <w:szCs w:val="21"/>
                <w:highlight w:val="none"/>
                <w:lang w:val="en-US" w:eastAsia="zh-CN" w:bidi="ar-SA"/>
              </w:rPr>
            </w:pPr>
            <w:r>
              <w:rPr>
                <w:rFonts w:hint="eastAsia" w:ascii="仿宋_GB2312" w:hAnsi="仿宋_GB2312" w:eastAsia="仿宋_GB2312" w:cs="仿宋_GB2312"/>
                <w:b w:val="0"/>
                <w:bCs/>
                <w:color w:val="auto"/>
                <w:kern w:val="2"/>
                <w:sz w:val="21"/>
                <w:szCs w:val="21"/>
                <w:highlight w:val="none"/>
                <w:lang w:val="en-US" w:eastAsia="zh-CN" w:bidi="ar-SA"/>
              </w:rPr>
              <w:t>经团场推荐，择优选取6</w:t>
            </w:r>
            <w:bookmarkStart w:id="87" w:name="_GoBack"/>
            <w:bookmarkEnd w:id="87"/>
            <w:r>
              <w:rPr>
                <w:rFonts w:hint="eastAsia" w:ascii="仿宋_GB2312" w:hAnsi="仿宋_GB2312" w:eastAsia="仿宋_GB2312" w:cs="仿宋_GB2312"/>
                <w:b w:val="0"/>
                <w:bCs/>
                <w:color w:val="auto"/>
                <w:kern w:val="2"/>
                <w:sz w:val="21"/>
                <w:szCs w:val="21"/>
                <w:highlight w:val="none"/>
                <w:lang w:val="en-US" w:eastAsia="zh-CN" w:bidi="ar-SA"/>
              </w:rPr>
              <w:t>个社区家长学校建设，提升社区“家长学校”服务能力</w:t>
            </w:r>
          </w:p>
        </w:tc>
        <w:tc>
          <w:tcPr>
            <w:tcW w:w="950" w:type="dxa"/>
            <w:tcBorders>
              <w:top w:val="nil"/>
              <w:left w:val="nil"/>
              <w:bottom w:val="single" w:color="000000" w:sz="8" w:space="0"/>
              <w:right w:val="single" w:color="000000" w:sz="8" w:space="0"/>
            </w:tcBorders>
            <w:shd w:val="clear" w:color="auto" w:fill="auto"/>
            <w:vAlign w:val="center"/>
          </w:tcPr>
          <w:p w14:paraId="672446C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kern w:val="2"/>
                <w:sz w:val="21"/>
                <w:szCs w:val="21"/>
                <w:highlight w:val="none"/>
                <w:lang w:val="en-US" w:eastAsia="zh-CN" w:bidi="ar-SA"/>
              </w:rPr>
            </w:pPr>
            <w:r>
              <w:rPr>
                <w:rFonts w:hint="eastAsia" w:ascii="仿宋_GB2312" w:hAnsi="仿宋_GB2312" w:eastAsia="仿宋_GB2312" w:cs="仿宋_GB2312"/>
                <w:b w:val="0"/>
                <w:bCs/>
                <w:color w:val="auto"/>
                <w:kern w:val="2"/>
                <w:sz w:val="21"/>
                <w:szCs w:val="21"/>
                <w:highlight w:val="none"/>
                <w:lang w:val="en-US" w:eastAsia="zh-CN" w:bidi="ar-SA"/>
              </w:rPr>
              <w:t>社区</w:t>
            </w:r>
          </w:p>
        </w:tc>
        <w:tc>
          <w:tcPr>
            <w:tcW w:w="882" w:type="dxa"/>
            <w:tcBorders>
              <w:top w:val="nil"/>
              <w:left w:val="nil"/>
              <w:bottom w:val="single" w:color="000000" w:sz="8" w:space="0"/>
              <w:right w:val="single" w:color="000000" w:sz="8" w:space="0"/>
            </w:tcBorders>
            <w:shd w:val="clear" w:color="auto" w:fill="auto"/>
            <w:vAlign w:val="center"/>
          </w:tcPr>
          <w:p w14:paraId="3C7F161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kern w:val="2"/>
                <w:sz w:val="21"/>
                <w:szCs w:val="21"/>
                <w:highlight w:val="none"/>
                <w:lang w:val="en-US" w:eastAsia="zh-CN" w:bidi="ar-SA"/>
              </w:rPr>
            </w:pPr>
            <w:r>
              <w:rPr>
                <w:rFonts w:hint="default" w:ascii="Times New Roman" w:hAnsi="Times New Roman" w:eastAsia="仿宋_GB2312" w:cs="Times New Roman"/>
                <w:b w:val="0"/>
                <w:bCs/>
                <w:color w:val="auto"/>
                <w:kern w:val="2"/>
                <w:sz w:val="21"/>
                <w:szCs w:val="21"/>
                <w:highlight w:val="none"/>
                <w:lang w:val="en-US" w:eastAsia="zh-CN" w:bidi="ar-SA"/>
              </w:rPr>
              <w:t>2027</w:t>
            </w:r>
            <w:r>
              <w:rPr>
                <w:rFonts w:hint="eastAsia" w:ascii="仿宋_GB2312" w:hAnsi="仿宋_GB2312" w:eastAsia="仿宋_GB2312" w:cs="仿宋_GB2312"/>
                <w:b w:val="0"/>
                <w:bCs/>
                <w:color w:val="auto"/>
                <w:kern w:val="2"/>
                <w:sz w:val="21"/>
                <w:szCs w:val="21"/>
                <w:highlight w:val="none"/>
                <w:lang w:val="en-US" w:eastAsia="zh-CN" w:bidi="ar-SA"/>
              </w:rPr>
              <w:t>-</w:t>
            </w:r>
          </w:p>
          <w:p w14:paraId="364EADD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kern w:val="2"/>
                <w:sz w:val="21"/>
                <w:szCs w:val="21"/>
                <w:highlight w:val="none"/>
                <w:lang w:val="en-US" w:eastAsia="zh-CN" w:bidi="ar-SA"/>
              </w:rPr>
            </w:pPr>
            <w:r>
              <w:rPr>
                <w:rFonts w:hint="default" w:ascii="Times New Roman" w:hAnsi="Times New Roman" w:eastAsia="仿宋_GB2312" w:cs="Times New Roman"/>
                <w:b w:val="0"/>
                <w:bCs/>
                <w:color w:val="auto"/>
                <w:kern w:val="2"/>
                <w:sz w:val="21"/>
                <w:szCs w:val="21"/>
                <w:highlight w:val="none"/>
                <w:lang w:val="en-US" w:eastAsia="zh-CN" w:bidi="ar-SA"/>
              </w:rPr>
              <w:t>2029</w:t>
            </w:r>
          </w:p>
        </w:tc>
        <w:tc>
          <w:tcPr>
            <w:tcW w:w="2335" w:type="dxa"/>
            <w:tcBorders>
              <w:top w:val="nil"/>
              <w:left w:val="nil"/>
              <w:bottom w:val="single" w:color="000000" w:sz="8" w:space="0"/>
              <w:right w:val="single" w:color="000000" w:sz="8" w:space="0"/>
            </w:tcBorders>
            <w:shd w:val="clear" w:color="auto" w:fill="auto"/>
            <w:vAlign w:val="center"/>
          </w:tcPr>
          <w:p w14:paraId="24ABDB4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kern w:val="2"/>
                <w:sz w:val="21"/>
                <w:szCs w:val="21"/>
                <w:highlight w:val="none"/>
                <w:lang w:val="en-US" w:eastAsia="zh-CN" w:bidi="ar-SA"/>
              </w:rPr>
            </w:pPr>
            <w:r>
              <w:rPr>
                <w:rFonts w:hint="eastAsia" w:ascii="仿宋_GB2312" w:hAnsi="仿宋_GB2312" w:eastAsia="仿宋_GB2312" w:cs="仿宋_GB2312"/>
                <w:b w:val="0"/>
                <w:bCs/>
                <w:color w:val="auto"/>
                <w:kern w:val="2"/>
                <w:sz w:val="21"/>
                <w:szCs w:val="21"/>
                <w:highlight w:val="none"/>
                <w:lang w:val="en-US" w:eastAsia="zh-CN" w:bidi="ar-SA"/>
              </w:rPr>
              <w:t>购买沙盘沙具、团辅桌椅、智能化心理辅导设备及场地装修</w:t>
            </w:r>
          </w:p>
        </w:tc>
        <w:tc>
          <w:tcPr>
            <w:tcW w:w="2234" w:type="dxa"/>
            <w:tcBorders>
              <w:top w:val="nil"/>
              <w:left w:val="nil"/>
              <w:bottom w:val="single" w:color="000000" w:sz="8" w:space="0"/>
              <w:right w:val="single" w:color="000000" w:sz="8" w:space="0"/>
            </w:tcBorders>
            <w:shd w:val="clear" w:color="auto" w:fill="auto"/>
            <w:vAlign w:val="center"/>
          </w:tcPr>
          <w:p w14:paraId="4B52363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kern w:val="2"/>
                <w:sz w:val="21"/>
                <w:szCs w:val="21"/>
                <w:highlight w:val="none"/>
                <w:lang w:val="en-US" w:eastAsia="zh-CN" w:bidi="ar-SA"/>
              </w:rPr>
            </w:pPr>
            <w:r>
              <w:rPr>
                <w:rFonts w:hint="eastAsia" w:ascii="仿宋_GB2312" w:hAnsi="仿宋_GB2312" w:eastAsia="仿宋_GB2312" w:cs="仿宋_GB2312"/>
                <w:b w:val="0"/>
                <w:bCs/>
                <w:color w:val="auto"/>
                <w:kern w:val="2"/>
                <w:sz w:val="21"/>
                <w:szCs w:val="21"/>
                <w:highlight w:val="none"/>
                <w:lang w:val="en-US" w:eastAsia="zh-CN" w:bidi="ar-SA"/>
              </w:rPr>
              <w:t>做实社区家长学校，实现人口集中社区家长学校阵地升级</w:t>
            </w:r>
          </w:p>
        </w:tc>
        <w:tc>
          <w:tcPr>
            <w:tcW w:w="1216" w:type="dxa"/>
            <w:tcBorders>
              <w:top w:val="nil"/>
              <w:left w:val="nil"/>
              <w:bottom w:val="single" w:color="000000" w:sz="8" w:space="0"/>
              <w:right w:val="single" w:color="000000" w:sz="8" w:space="0"/>
            </w:tcBorders>
            <w:shd w:val="clear" w:color="auto" w:fill="auto"/>
            <w:vAlign w:val="center"/>
          </w:tcPr>
          <w:p w14:paraId="2326E15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kern w:val="2"/>
                <w:sz w:val="21"/>
                <w:szCs w:val="21"/>
                <w:highlight w:val="none"/>
                <w:lang w:val="en-US" w:eastAsia="zh-CN" w:bidi="ar-SA"/>
              </w:rPr>
            </w:pPr>
            <w:r>
              <w:rPr>
                <w:rFonts w:hint="default" w:ascii="Times New Roman" w:hAnsi="Times New Roman" w:eastAsia="仿宋_GB2312" w:cs="Times New Roman"/>
                <w:b w:val="0"/>
                <w:bCs/>
                <w:color w:val="auto"/>
                <w:kern w:val="2"/>
                <w:sz w:val="21"/>
                <w:szCs w:val="21"/>
                <w:highlight w:val="none"/>
                <w:lang w:val="en-US" w:eastAsia="zh-CN" w:bidi="ar-SA"/>
              </w:rPr>
              <w:t>30</w:t>
            </w:r>
          </w:p>
        </w:tc>
        <w:tc>
          <w:tcPr>
            <w:tcW w:w="1061" w:type="dxa"/>
            <w:tcBorders>
              <w:top w:val="nil"/>
              <w:left w:val="nil"/>
              <w:bottom w:val="single" w:color="000000" w:sz="8" w:space="0"/>
              <w:right w:val="single" w:color="auto" w:sz="4" w:space="0"/>
            </w:tcBorders>
            <w:shd w:val="clear" w:color="auto" w:fill="auto"/>
            <w:vAlign w:val="center"/>
          </w:tcPr>
          <w:p w14:paraId="5B6FE27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kern w:val="2"/>
                <w:sz w:val="21"/>
                <w:szCs w:val="21"/>
                <w:highlight w:val="none"/>
                <w:lang w:val="en-US" w:eastAsia="zh-CN" w:bidi="ar-SA"/>
              </w:rPr>
            </w:pPr>
            <w:r>
              <w:rPr>
                <w:rFonts w:hint="default" w:ascii="Times New Roman" w:hAnsi="Times New Roman" w:eastAsia="仿宋_GB2312" w:cs="Times New Roman"/>
                <w:b w:val="0"/>
                <w:bCs/>
                <w:color w:val="auto"/>
                <w:kern w:val="2"/>
                <w:sz w:val="21"/>
                <w:szCs w:val="21"/>
                <w:highlight w:val="none"/>
                <w:lang w:val="en-US" w:eastAsia="zh-CN" w:bidi="ar-SA"/>
              </w:rPr>
              <w:t>10</w:t>
            </w:r>
          </w:p>
        </w:tc>
        <w:tc>
          <w:tcPr>
            <w:tcW w:w="639" w:type="dxa"/>
            <w:tcBorders>
              <w:top w:val="nil"/>
              <w:left w:val="single" w:color="auto" w:sz="4" w:space="0"/>
              <w:bottom w:val="single" w:color="auto" w:sz="4" w:space="0"/>
              <w:right w:val="single" w:color="000000" w:sz="8" w:space="0"/>
            </w:tcBorders>
            <w:shd w:val="clear" w:color="auto" w:fill="auto"/>
            <w:vAlign w:val="center"/>
          </w:tcPr>
          <w:p w14:paraId="04986E1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kern w:val="2"/>
                <w:sz w:val="21"/>
                <w:szCs w:val="21"/>
                <w:highlight w:val="none"/>
                <w:lang w:val="en-US" w:eastAsia="zh-CN" w:bidi="ar-SA"/>
              </w:rPr>
            </w:pPr>
          </w:p>
        </w:tc>
      </w:tr>
      <w:tr w14:paraId="4FA97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081" w:hRule="atLeast"/>
          <w:jc w:val="center"/>
        </w:trPr>
        <w:tc>
          <w:tcPr>
            <w:tcW w:w="868"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DCC52E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队伍</w:t>
            </w:r>
          </w:p>
          <w:p w14:paraId="2964C64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i w:val="0"/>
                <w:iCs w:val="0"/>
                <w:color w:val="auto"/>
                <w:kern w:val="0"/>
                <w:sz w:val="21"/>
                <w:szCs w:val="21"/>
                <w:u w:val="none"/>
                <w:lang w:val="en-US" w:eastAsia="zh-CN" w:bidi="ar"/>
              </w:rPr>
              <w:t>建设</w:t>
            </w:r>
          </w:p>
        </w:tc>
        <w:tc>
          <w:tcPr>
            <w:tcW w:w="1074" w:type="dxa"/>
            <w:tcBorders>
              <w:top w:val="nil"/>
              <w:left w:val="nil"/>
              <w:bottom w:val="single" w:color="000000" w:sz="8" w:space="0"/>
              <w:right w:val="single" w:color="000000" w:sz="8" w:space="0"/>
            </w:tcBorders>
            <w:shd w:val="clear" w:color="auto" w:fill="auto"/>
            <w:vAlign w:val="center"/>
          </w:tcPr>
          <w:p w14:paraId="5EA909B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lang w:val="en-US"/>
              </w:rPr>
            </w:pPr>
            <w:r>
              <w:rPr>
                <w:rFonts w:hint="eastAsia" w:ascii="仿宋_GB2312" w:hAnsi="仿宋_GB2312" w:eastAsia="仿宋_GB2312" w:cs="仿宋_GB2312"/>
                <w:b w:val="0"/>
                <w:bCs/>
                <w:color w:val="auto"/>
                <w:sz w:val="21"/>
                <w:szCs w:val="21"/>
                <w:highlight w:val="none"/>
                <w:lang w:val="en-US" w:eastAsia="zh-CN"/>
              </w:rPr>
              <w:t>家庭教育指导中心</w:t>
            </w:r>
          </w:p>
        </w:tc>
        <w:tc>
          <w:tcPr>
            <w:tcW w:w="475" w:type="dxa"/>
            <w:tcBorders>
              <w:top w:val="nil"/>
              <w:left w:val="nil"/>
              <w:bottom w:val="single" w:color="000000" w:sz="8" w:space="0"/>
              <w:right w:val="single" w:color="000000" w:sz="8" w:space="0"/>
            </w:tcBorders>
            <w:shd w:val="clear" w:color="auto" w:fill="auto"/>
            <w:vAlign w:val="center"/>
          </w:tcPr>
          <w:p w14:paraId="53C1484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i w:val="0"/>
                <w:iCs w:val="0"/>
                <w:color w:val="auto"/>
                <w:kern w:val="0"/>
                <w:sz w:val="21"/>
                <w:szCs w:val="21"/>
                <w:u w:val="none"/>
                <w:lang w:val="en-US" w:eastAsia="zh-CN" w:bidi="ar"/>
              </w:rPr>
              <w:t>非固投</w:t>
            </w:r>
          </w:p>
        </w:tc>
        <w:tc>
          <w:tcPr>
            <w:tcW w:w="1510" w:type="dxa"/>
            <w:tcBorders>
              <w:top w:val="nil"/>
              <w:left w:val="nil"/>
              <w:bottom w:val="single" w:color="000000" w:sz="8" w:space="0"/>
              <w:right w:val="single" w:color="000000" w:sz="8" w:space="0"/>
            </w:tcBorders>
            <w:shd w:val="clear" w:color="auto" w:fill="auto"/>
            <w:vAlign w:val="center"/>
          </w:tcPr>
          <w:p w14:paraId="1B7E58F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师市</w:t>
            </w:r>
          </w:p>
          <w:p w14:paraId="4D9FFD4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i w:val="0"/>
                <w:iCs w:val="0"/>
                <w:color w:val="auto"/>
                <w:kern w:val="0"/>
                <w:sz w:val="21"/>
                <w:szCs w:val="21"/>
                <w:u w:val="none"/>
                <w:lang w:val="en-US" w:eastAsia="zh-CN" w:bidi="ar"/>
              </w:rPr>
              <w:t>妇联</w:t>
            </w:r>
          </w:p>
        </w:tc>
        <w:tc>
          <w:tcPr>
            <w:tcW w:w="2474" w:type="dxa"/>
            <w:tcBorders>
              <w:top w:val="nil"/>
              <w:left w:val="nil"/>
              <w:bottom w:val="single" w:color="000000" w:sz="8" w:space="0"/>
              <w:right w:val="single" w:color="000000" w:sz="8" w:space="0"/>
            </w:tcBorders>
            <w:shd w:val="clear" w:color="auto" w:fill="auto"/>
            <w:vAlign w:val="center"/>
          </w:tcPr>
          <w:p w14:paraId="6D203BC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i w:val="0"/>
                <w:iCs w:val="0"/>
                <w:color w:val="auto"/>
                <w:kern w:val="0"/>
                <w:sz w:val="18"/>
                <w:szCs w:val="18"/>
                <w:u w:val="none"/>
                <w:lang w:val="en-US" w:eastAsia="zh-CN" w:bidi="ar"/>
              </w:rPr>
              <w:t>负责师市家庭教育工作组织实施、人员培训、调研督导、活动开展、建档立卡等工作</w:t>
            </w:r>
          </w:p>
        </w:tc>
        <w:tc>
          <w:tcPr>
            <w:tcW w:w="950" w:type="dxa"/>
            <w:tcBorders>
              <w:top w:val="nil"/>
              <w:left w:val="nil"/>
              <w:bottom w:val="single" w:color="000000" w:sz="8" w:space="0"/>
              <w:right w:val="single" w:color="000000" w:sz="8" w:space="0"/>
            </w:tcBorders>
            <w:shd w:val="clear" w:color="auto" w:fill="auto"/>
            <w:vAlign w:val="center"/>
          </w:tcPr>
          <w:p w14:paraId="4340306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i w:val="0"/>
                <w:iCs w:val="0"/>
                <w:color w:val="auto"/>
                <w:kern w:val="0"/>
                <w:sz w:val="21"/>
                <w:szCs w:val="21"/>
                <w:u w:val="none"/>
                <w:lang w:val="en-US" w:eastAsia="zh-CN" w:bidi="ar"/>
              </w:rPr>
              <w:t>新星市</w:t>
            </w:r>
          </w:p>
        </w:tc>
        <w:tc>
          <w:tcPr>
            <w:tcW w:w="882" w:type="dxa"/>
            <w:tcBorders>
              <w:top w:val="nil"/>
              <w:left w:val="nil"/>
              <w:bottom w:val="single" w:color="000000" w:sz="8" w:space="0"/>
              <w:right w:val="single" w:color="000000" w:sz="8" w:space="0"/>
            </w:tcBorders>
            <w:shd w:val="clear" w:color="auto" w:fill="auto"/>
            <w:vAlign w:val="center"/>
          </w:tcPr>
          <w:p w14:paraId="233608F7">
            <w:pPr>
              <w:keepNext w:val="0"/>
              <w:keepLines w:val="0"/>
              <w:widowControl/>
              <w:suppressLineNumbers w:val="0"/>
              <w:snapToGrid w:val="0"/>
              <w:ind w:left="0" w:leftChars="0" w:right="0" w:rightChars="0" w:firstLine="0" w:firstLineChars="0"/>
              <w:jc w:val="center"/>
              <w:textAlignment w:val="center"/>
              <w:rPr>
                <w:rStyle w:val="23"/>
                <w:rFonts w:hint="eastAsia" w:ascii="仿宋_GB2312" w:hAnsi="仿宋_GB2312" w:eastAsia="仿宋_GB2312" w:cs="仿宋_GB2312"/>
                <w:color w:val="auto"/>
                <w:sz w:val="21"/>
                <w:szCs w:val="21"/>
                <w:lang w:val="en-US" w:eastAsia="zh-CN" w:bidi="ar"/>
              </w:rPr>
            </w:pPr>
            <w:r>
              <w:rPr>
                <w:rStyle w:val="23"/>
                <w:rFonts w:hint="default" w:ascii="Times New Roman" w:hAnsi="Times New Roman" w:eastAsia="仿宋_GB2312" w:cs="Times New Roman"/>
                <w:color w:val="auto"/>
                <w:sz w:val="21"/>
                <w:szCs w:val="21"/>
                <w:lang w:val="en-US" w:eastAsia="zh-CN" w:bidi="ar"/>
              </w:rPr>
              <w:t>2026</w:t>
            </w:r>
            <w:r>
              <w:rPr>
                <w:rStyle w:val="23"/>
                <w:rFonts w:hint="eastAsia" w:ascii="仿宋_GB2312" w:hAnsi="仿宋_GB2312" w:eastAsia="仿宋_GB2312" w:cs="仿宋_GB2312"/>
                <w:color w:val="auto"/>
                <w:sz w:val="21"/>
                <w:szCs w:val="21"/>
                <w:lang w:val="en-US" w:eastAsia="zh-CN" w:bidi="ar"/>
              </w:rPr>
              <w:t>-</w:t>
            </w:r>
          </w:p>
          <w:p w14:paraId="22BB573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r>
              <w:rPr>
                <w:rStyle w:val="23"/>
                <w:rFonts w:hint="default" w:ascii="Times New Roman" w:hAnsi="Times New Roman" w:eastAsia="仿宋_GB2312" w:cs="Times New Roman"/>
                <w:color w:val="auto"/>
                <w:sz w:val="21"/>
                <w:szCs w:val="21"/>
                <w:lang w:val="en-US" w:eastAsia="zh-CN" w:bidi="ar"/>
              </w:rPr>
              <w:t>2030</w:t>
            </w:r>
          </w:p>
        </w:tc>
        <w:tc>
          <w:tcPr>
            <w:tcW w:w="2335" w:type="dxa"/>
            <w:tcBorders>
              <w:top w:val="nil"/>
              <w:left w:val="nil"/>
              <w:bottom w:val="single" w:color="000000" w:sz="8" w:space="0"/>
              <w:right w:val="single" w:color="000000" w:sz="8" w:space="0"/>
            </w:tcBorders>
            <w:shd w:val="clear" w:color="auto" w:fill="auto"/>
            <w:vAlign w:val="center"/>
          </w:tcPr>
          <w:p w14:paraId="640C3F9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lang w:val="en-US"/>
              </w:rPr>
            </w:pPr>
            <w:r>
              <w:rPr>
                <w:rFonts w:hint="eastAsia" w:ascii="仿宋_GB2312" w:hAnsi="仿宋_GB2312" w:eastAsia="仿宋_GB2312" w:cs="仿宋_GB2312"/>
                <w:i w:val="0"/>
                <w:iCs w:val="0"/>
                <w:color w:val="auto"/>
                <w:kern w:val="0"/>
                <w:sz w:val="18"/>
                <w:szCs w:val="18"/>
                <w:u w:val="none"/>
                <w:lang w:val="en-US" w:eastAsia="zh-CN" w:bidi="ar"/>
              </w:rPr>
              <w:t>以政府购买服务方式，完成师市家庭教育指导中心工作。</w:t>
            </w:r>
          </w:p>
        </w:tc>
        <w:tc>
          <w:tcPr>
            <w:tcW w:w="2234" w:type="dxa"/>
            <w:tcBorders>
              <w:top w:val="nil"/>
              <w:left w:val="nil"/>
              <w:bottom w:val="single" w:color="000000" w:sz="8" w:space="0"/>
              <w:right w:val="single" w:color="000000" w:sz="8" w:space="0"/>
            </w:tcBorders>
            <w:shd w:val="clear" w:color="auto" w:fill="auto"/>
            <w:vAlign w:val="center"/>
          </w:tcPr>
          <w:p w14:paraId="7927587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i w:val="0"/>
                <w:iCs w:val="0"/>
                <w:color w:val="auto"/>
                <w:kern w:val="0"/>
                <w:sz w:val="21"/>
                <w:szCs w:val="21"/>
                <w:u w:val="none"/>
                <w:lang w:val="en-US" w:eastAsia="zh-CN" w:bidi="ar"/>
              </w:rPr>
              <w:t>家庭教育指导工作规范化、体系化建设</w:t>
            </w:r>
          </w:p>
        </w:tc>
        <w:tc>
          <w:tcPr>
            <w:tcW w:w="1216" w:type="dxa"/>
            <w:tcBorders>
              <w:top w:val="nil"/>
              <w:left w:val="nil"/>
              <w:bottom w:val="single" w:color="000000" w:sz="8" w:space="0"/>
              <w:right w:val="single" w:color="000000" w:sz="8" w:space="0"/>
            </w:tcBorders>
            <w:shd w:val="clear" w:color="auto" w:fill="auto"/>
            <w:vAlign w:val="center"/>
          </w:tcPr>
          <w:p w14:paraId="3CCE4C2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lang w:val="en-US" w:eastAsia="zh-CN"/>
              </w:rPr>
            </w:pPr>
          </w:p>
        </w:tc>
        <w:tc>
          <w:tcPr>
            <w:tcW w:w="1061" w:type="dxa"/>
            <w:tcBorders>
              <w:top w:val="nil"/>
              <w:left w:val="nil"/>
              <w:bottom w:val="single" w:color="000000" w:sz="8" w:space="0"/>
              <w:right w:val="single" w:color="000000" w:sz="8" w:space="0"/>
            </w:tcBorders>
            <w:shd w:val="clear" w:color="auto" w:fill="auto"/>
            <w:vAlign w:val="center"/>
          </w:tcPr>
          <w:p w14:paraId="795B4AF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lang w:val="en-US" w:eastAsia="zh-CN"/>
              </w:rPr>
            </w:pPr>
          </w:p>
        </w:tc>
        <w:tc>
          <w:tcPr>
            <w:tcW w:w="639" w:type="dxa"/>
            <w:tcBorders>
              <w:top w:val="single" w:color="auto" w:sz="4" w:space="0"/>
              <w:left w:val="nil"/>
              <w:bottom w:val="single" w:color="000000" w:sz="8" w:space="0"/>
              <w:right w:val="single" w:color="000000" w:sz="8" w:space="0"/>
            </w:tcBorders>
            <w:shd w:val="clear" w:color="auto" w:fill="auto"/>
            <w:vAlign w:val="center"/>
          </w:tcPr>
          <w:p w14:paraId="19938E4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p>
        </w:tc>
      </w:tr>
      <w:tr w14:paraId="35DEE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76" w:hRule="atLeast"/>
          <w:jc w:val="center"/>
        </w:trPr>
        <w:tc>
          <w:tcPr>
            <w:tcW w:w="86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935AE62">
            <w:pPr>
              <w:snapToGrid w:val="0"/>
              <w:ind w:left="0" w:leftChars="0" w:right="0" w:rightChars="0" w:firstLine="0" w:firstLineChars="0"/>
              <w:jc w:val="center"/>
              <w:rPr>
                <w:rFonts w:hint="eastAsia" w:ascii="仿宋_GB2312" w:hAnsi="仿宋_GB2312" w:eastAsia="仿宋_GB2312" w:cs="仿宋_GB2312"/>
                <w:i w:val="0"/>
                <w:iCs w:val="0"/>
                <w:color w:val="auto"/>
                <w:sz w:val="21"/>
                <w:szCs w:val="21"/>
                <w:u w:val="none"/>
              </w:rPr>
            </w:pPr>
          </w:p>
        </w:tc>
        <w:tc>
          <w:tcPr>
            <w:tcW w:w="1074" w:type="dxa"/>
            <w:tcBorders>
              <w:top w:val="nil"/>
              <w:left w:val="nil"/>
              <w:bottom w:val="single" w:color="000000" w:sz="8" w:space="0"/>
              <w:right w:val="single" w:color="000000" w:sz="8" w:space="0"/>
            </w:tcBorders>
            <w:shd w:val="clear" w:color="auto" w:fill="auto"/>
            <w:vAlign w:val="center"/>
          </w:tcPr>
          <w:p w14:paraId="401A5C8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sz w:val="18"/>
                <w:szCs w:val="18"/>
                <w:highlight w:val="none"/>
                <w:lang w:val="en-US" w:eastAsia="zh-CN"/>
              </w:rPr>
            </w:pPr>
            <w:r>
              <w:rPr>
                <w:rFonts w:hint="eastAsia" w:ascii="仿宋_GB2312" w:hAnsi="仿宋_GB2312" w:eastAsia="仿宋_GB2312" w:cs="仿宋_GB2312"/>
                <w:b w:val="0"/>
                <w:bCs/>
                <w:color w:val="auto"/>
                <w:sz w:val="21"/>
                <w:szCs w:val="21"/>
                <w:highlight w:val="none"/>
                <w:lang w:val="en-US" w:eastAsia="zh-CN"/>
              </w:rPr>
              <w:t>家庭教育指导中心运行经费</w:t>
            </w:r>
          </w:p>
        </w:tc>
        <w:tc>
          <w:tcPr>
            <w:tcW w:w="475" w:type="dxa"/>
            <w:tcBorders>
              <w:top w:val="nil"/>
              <w:left w:val="nil"/>
              <w:bottom w:val="single" w:color="000000" w:sz="8" w:space="0"/>
              <w:right w:val="single" w:color="000000" w:sz="8" w:space="0"/>
            </w:tcBorders>
            <w:shd w:val="clear" w:color="auto" w:fill="auto"/>
            <w:vAlign w:val="center"/>
          </w:tcPr>
          <w:p w14:paraId="7CD8D84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非固投</w:t>
            </w:r>
          </w:p>
        </w:tc>
        <w:tc>
          <w:tcPr>
            <w:tcW w:w="1510" w:type="dxa"/>
            <w:tcBorders>
              <w:top w:val="nil"/>
              <w:left w:val="nil"/>
              <w:bottom w:val="single" w:color="000000" w:sz="8" w:space="0"/>
              <w:right w:val="single" w:color="000000" w:sz="8" w:space="0"/>
            </w:tcBorders>
            <w:shd w:val="clear" w:color="auto" w:fill="auto"/>
            <w:vAlign w:val="center"/>
          </w:tcPr>
          <w:p w14:paraId="59A0133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师市</w:t>
            </w:r>
          </w:p>
          <w:p w14:paraId="0C2CA5D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妇联</w:t>
            </w:r>
          </w:p>
        </w:tc>
        <w:tc>
          <w:tcPr>
            <w:tcW w:w="2474" w:type="dxa"/>
            <w:tcBorders>
              <w:top w:val="nil"/>
              <w:left w:val="nil"/>
              <w:bottom w:val="single" w:color="000000" w:sz="8" w:space="0"/>
              <w:right w:val="single" w:color="000000" w:sz="8" w:space="0"/>
            </w:tcBorders>
            <w:shd w:val="clear" w:color="auto" w:fill="auto"/>
            <w:vAlign w:val="center"/>
          </w:tcPr>
          <w:p w14:paraId="446DB7E2">
            <w:pPr>
              <w:keepNext w:val="0"/>
              <w:keepLines w:val="0"/>
              <w:widowControl/>
              <w:suppressLineNumbers w:val="0"/>
              <w:snapToGrid w:val="0"/>
              <w:ind w:left="0" w:leftChars="0" w:right="0" w:rightChars="0" w:firstLine="0" w:firstLineChars="0"/>
              <w:jc w:val="center"/>
              <w:textAlignment w:val="center"/>
              <w:rPr>
                <w:rStyle w:val="24"/>
                <w:rFonts w:hint="eastAsia" w:ascii="仿宋_GB2312" w:hAnsi="仿宋_GB2312" w:eastAsia="仿宋_GB2312" w:cs="仿宋_GB2312"/>
                <w:color w:val="auto"/>
                <w:sz w:val="21"/>
                <w:szCs w:val="21"/>
                <w:lang w:val="en-US" w:eastAsia="zh-CN" w:bidi="ar"/>
              </w:rPr>
            </w:pPr>
            <w:r>
              <w:rPr>
                <w:rStyle w:val="24"/>
                <w:rFonts w:hint="eastAsia" w:ascii="仿宋_GB2312" w:hAnsi="仿宋_GB2312" w:eastAsia="仿宋_GB2312" w:cs="仿宋_GB2312"/>
                <w:color w:val="auto"/>
                <w:sz w:val="21"/>
                <w:szCs w:val="21"/>
                <w:lang w:val="en-US" w:eastAsia="zh-CN" w:bidi="ar"/>
              </w:rPr>
              <w:t>保障中心运转</w:t>
            </w:r>
          </w:p>
        </w:tc>
        <w:tc>
          <w:tcPr>
            <w:tcW w:w="950" w:type="dxa"/>
            <w:tcBorders>
              <w:top w:val="nil"/>
              <w:left w:val="nil"/>
              <w:bottom w:val="single" w:color="000000" w:sz="8" w:space="0"/>
              <w:right w:val="single" w:color="000000" w:sz="8" w:space="0"/>
            </w:tcBorders>
            <w:shd w:val="clear" w:color="auto" w:fill="auto"/>
            <w:vAlign w:val="center"/>
          </w:tcPr>
          <w:p w14:paraId="10FA766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sz w:val="21"/>
                <w:szCs w:val="21"/>
                <w:highlight w:val="none"/>
                <w:lang w:val="en-US" w:eastAsia="zh-CN"/>
              </w:rPr>
            </w:pPr>
            <w:r>
              <w:rPr>
                <w:rFonts w:hint="eastAsia" w:ascii="仿宋_GB2312" w:hAnsi="仿宋_GB2312" w:eastAsia="仿宋_GB2312" w:cs="仿宋_GB2312"/>
                <w:i w:val="0"/>
                <w:iCs w:val="0"/>
                <w:color w:val="auto"/>
                <w:kern w:val="0"/>
                <w:sz w:val="21"/>
                <w:szCs w:val="21"/>
                <w:u w:val="none"/>
                <w:lang w:val="en-US" w:eastAsia="zh-CN" w:bidi="ar"/>
              </w:rPr>
              <w:t>新星市</w:t>
            </w:r>
          </w:p>
        </w:tc>
        <w:tc>
          <w:tcPr>
            <w:tcW w:w="882" w:type="dxa"/>
            <w:tcBorders>
              <w:top w:val="nil"/>
              <w:left w:val="nil"/>
              <w:bottom w:val="single" w:color="000000" w:sz="8" w:space="0"/>
              <w:right w:val="single" w:color="000000" w:sz="8" w:space="0"/>
            </w:tcBorders>
            <w:shd w:val="clear" w:color="auto" w:fill="auto"/>
            <w:vAlign w:val="center"/>
          </w:tcPr>
          <w:p w14:paraId="70A939DE">
            <w:pPr>
              <w:keepNext w:val="0"/>
              <w:keepLines w:val="0"/>
              <w:widowControl/>
              <w:suppressLineNumbers w:val="0"/>
              <w:snapToGrid w:val="0"/>
              <w:ind w:left="0" w:leftChars="0" w:right="0" w:rightChars="0" w:firstLine="0" w:firstLineChars="0"/>
              <w:jc w:val="center"/>
              <w:textAlignment w:val="center"/>
              <w:rPr>
                <w:rStyle w:val="23"/>
                <w:rFonts w:hint="eastAsia" w:ascii="仿宋_GB2312" w:hAnsi="仿宋_GB2312" w:eastAsia="仿宋_GB2312" w:cs="仿宋_GB2312"/>
                <w:color w:val="auto"/>
                <w:sz w:val="21"/>
                <w:szCs w:val="21"/>
                <w:lang w:val="en-US" w:eastAsia="zh-CN" w:bidi="ar"/>
              </w:rPr>
            </w:pPr>
            <w:r>
              <w:rPr>
                <w:rStyle w:val="23"/>
                <w:rFonts w:hint="default" w:ascii="Times New Roman" w:hAnsi="Times New Roman" w:eastAsia="仿宋_GB2312" w:cs="Times New Roman"/>
                <w:color w:val="auto"/>
                <w:sz w:val="21"/>
                <w:szCs w:val="21"/>
                <w:lang w:val="en-US" w:eastAsia="zh-CN" w:bidi="ar"/>
              </w:rPr>
              <w:t>2026</w:t>
            </w:r>
            <w:r>
              <w:rPr>
                <w:rStyle w:val="23"/>
                <w:rFonts w:hint="eastAsia" w:ascii="仿宋_GB2312" w:hAnsi="仿宋_GB2312" w:eastAsia="仿宋_GB2312" w:cs="仿宋_GB2312"/>
                <w:color w:val="auto"/>
                <w:sz w:val="21"/>
                <w:szCs w:val="21"/>
                <w:lang w:val="en-US" w:eastAsia="zh-CN" w:bidi="ar"/>
              </w:rPr>
              <w:t>-</w:t>
            </w:r>
          </w:p>
          <w:p w14:paraId="45066CD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Style w:val="23"/>
                <w:rFonts w:hint="default" w:ascii="Times New Roman" w:hAnsi="Times New Roman" w:eastAsia="仿宋_GB2312" w:cs="Times New Roman"/>
                <w:color w:val="auto"/>
                <w:sz w:val="21"/>
                <w:szCs w:val="21"/>
                <w:lang w:val="en-US" w:eastAsia="zh-CN" w:bidi="ar"/>
              </w:rPr>
              <w:t>2030</w:t>
            </w:r>
          </w:p>
        </w:tc>
        <w:tc>
          <w:tcPr>
            <w:tcW w:w="2335" w:type="dxa"/>
            <w:tcBorders>
              <w:top w:val="nil"/>
              <w:left w:val="nil"/>
              <w:bottom w:val="single" w:color="000000" w:sz="8" w:space="0"/>
              <w:right w:val="single" w:color="000000" w:sz="8" w:space="0"/>
            </w:tcBorders>
            <w:shd w:val="clear" w:color="auto" w:fill="auto"/>
            <w:vAlign w:val="center"/>
          </w:tcPr>
          <w:p w14:paraId="5EFBE6CA">
            <w:pPr>
              <w:keepNext w:val="0"/>
              <w:keepLines w:val="0"/>
              <w:widowControl/>
              <w:suppressLineNumbers w:val="0"/>
              <w:snapToGrid w:val="0"/>
              <w:ind w:left="0" w:leftChars="0" w:right="0" w:rightChars="0" w:firstLine="0" w:firstLineChars="0"/>
              <w:jc w:val="center"/>
              <w:textAlignment w:val="center"/>
              <w:rPr>
                <w:rStyle w:val="24"/>
                <w:rFonts w:hint="eastAsia" w:ascii="仿宋_GB2312" w:hAnsi="仿宋_GB2312" w:eastAsia="仿宋_GB2312" w:cs="仿宋_GB2312"/>
                <w:color w:val="auto"/>
                <w:sz w:val="21"/>
                <w:szCs w:val="21"/>
                <w:lang w:val="en-US" w:eastAsia="zh-CN" w:bidi="ar"/>
              </w:rPr>
            </w:pPr>
            <w:r>
              <w:rPr>
                <w:rStyle w:val="24"/>
                <w:rFonts w:hint="eastAsia" w:ascii="仿宋_GB2312" w:hAnsi="仿宋_GB2312" w:eastAsia="仿宋_GB2312" w:cs="仿宋_GB2312"/>
                <w:color w:val="auto"/>
                <w:sz w:val="21"/>
                <w:szCs w:val="21"/>
                <w:lang w:val="en-US" w:eastAsia="zh-CN" w:bidi="ar"/>
              </w:rPr>
              <w:t>用于中心运转</w:t>
            </w:r>
          </w:p>
        </w:tc>
        <w:tc>
          <w:tcPr>
            <w:tcW w:w="2234" w:type="dxa"/>
            <w:tcBorders>
              <w:top w:val="nil"/>
              <w:left w:val="nil"/>
              <w:bottom w:val="single" w:color="000000" w:sz="8" w:space="0"/>
              <w:right w:val="single" w:color="000000" w:sz="8" w:space="0"/>
            </w:tcBorders>
            <w:shd w:val="clear" w:color="auto" w:fill="auto"/>
            <w:vAlign w:val="center"/>
          </w:tcPr>
          <w:p w14:paraId="1E532F6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c>
          <w:tcPr>
            <w:tcW w:w="1216" w:type="dxa"/>
            <w:tcBorders>
              <w:top w:val="nil"/>
              <w:left w:val="nil"/>
              <w:bottom w:val="single" w:color="000000" w:sz="8" w:space="0"/>
              <w:right w:val="single" w:color="000000" w:sz="8" w:space="0"/>
            </w:tcBorders>
            <w:shd w:val="clear" w:color="auto" w:fill="auto"/>
            <w:vAlign w:val="center"/>
          </w:tcPr>
          <w:p w14:paraId="23B8D35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lang w:val="en-US" w:eastAsia="zh-CN"/>
              </w:rPr>
            </w:pPr>
            <w:r>
              <w:rPr>
                <w:rFonts w:hint="default" w:ascii="Times New Roman" w:hAnsi="Times New Roman" w:eastAsia="仿宋_GB2312" w:cs="Times New Roman"/>
                <w:i w:val="0"/>
                <w:iCs w:val="0"/>
                <w:color w:val="auto"/>
                <w:sz w:val="21"/>
                <w:szCs w:val="21"/>
                <w:u w:val="none"/>
                <w:lang w:val="en-US" w:eastAsia="zh-CN"/>
              </w:rPr>
              <w:t>50</w:t>
            </w:r>
          </w:p>
        </w:tc>
        <w:tc>
          <w:tcPr>
            <w:tcW w:w="1061" w:type="dxa"/>
            <w:tcBorders>
              <w:top w:val="nil"/>
              <w:left w:val="nil"/>
              <w:bottom w:val="single" w:color="000000" w:sz="8" w:space="0"/>
              <w:right w:val="single" w:color="000000" w:sz="8" w:space="0"/>
            </w:tcBorders>
            <w:shd w:val="clear" w:color="auto" w:fill="auto"/>
            <w:vAlign w:val="center"/>
          </w:tcPr>
          <w:p w14:paraId="40D61EC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lang w:val="en-US" w:eastAsia="zh-CN"/>
              </w:rPr>
            </w:pPr>
            <w:r>
              <w:rPr>
                <w:rFonts w:hint="default" w:ascii="Times New Roman" w:hAnsi="Times New Roman" w:eastAsia="仿宋_GB2312" w:cs="Times New Roman"/>
                <w:i w:val="0"/>
                <w:iCs w:val="0"/>
                <w:color w:val="auto"/>
                <w:sz w:val="21"/>
                <w:szCs w:val="21"/>
                <w:u w:val="none"/>
                <w:lang w:val="en-US" w:eastAsia="zh-CN"/>
              </w:rPr>
              <w:t>10</w:t>
            </w:r>
          </w:p>
        </w:tc>
        <w:tc>
          <w:tcPr>
            <w:tcW w:w="639" w:type="dxa"/>
            <w:tcBorders>
              <w:top w:val="nil"/>
              <w:left w:val="nil"/>
              <w:bottom w:val="single" w:color="000000" w:sz="8" w:space="0"/>
              <w:right w:val="single" w:color="000000" w:sz="8" w:space="0"/>
            </w:tcBorders>
            <w:shd w:val="clear" w:color="auto" w:fill="auto"/>
            <w:vAlign w:val="center"/>
          </w:tcPr>
          <w:p w14:paraId="6DAFB5B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lang w:eastAsia="zh-CN"/>
              </w:rPr>
            </w:pPr>
          </w:p>
        </w:tc>
      </w:tr>
      <w:tr w14:paraId="20AE1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jc w:val="center"/>
        </w:trPr>
        <w:tc>
          <w:tcPr>
            <w:tcW w:w="86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9992BF7">
            <w:pPr>
              <w:snapToGrid w:val="0"/>
              <w:ind w:left="0" w:leftChars="0" w:right="0" w:rightChars="0" w:firstLine="0" w:firstLineChars="0"/>
              <w:jc w:val="center"/>
              <w:rPr>
                <w:rFonts w:hint="eastAsia" w:ascii="仿宋_GB2312" w:hAnsi="仿宋_GB2312" w:eastAsia="仿宋_GB2312" w:cs="仿宋_GB2312"/>
                <w:i w:val="0"/>
                <w:iCs w:val="0"/>
                <w:color w:val="auto"/>
                <w:sz w:val="21"/>
                <w:szCs w:val="21"/>
                <w:u w:val="none"/>
              </w:rPr>
            </w:pPr>
          </w:p>
        </w:tc>
        <w:tc>
          <w:tcPr>
            <w:tcW w:w="1074" w:type="dxa"/>
            <w:tcBorders>
              <w:top w:val="nil"/>
              <w:left w:val="nil"/>
              <w:bottom w:val="single" w:color="000000" w:sz="8" w:space="0"/>
              <w:right w:val="single" w:color="000000" w:sz="8" w:space="0"/>
            </w:tcBorders>
            <w:shd w:val="clear" w:color="auto" w:fill="auto"/>
            <w:vAlign w:val="center"/>
          </w:tcPr>
          <w:p w14:paraId="5C2C9AA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sz w:val="18"/>
                <w:szCs w:val="18"/>
                <w:highlight w:val="none"/>
                <w:lang w:val="en-US" w:eastAsia="zh-CN"/>
              </w:rPr>
            </w:pPr>
            <w:r>
              <w:rPr>
                <w:rFonts w:hint="eastAsia" w:ascii="仿宋_GB2312" w:hAnsi="仿宋_GB2312" w:eastAsia="仿宋_GB2312" w:cs="仿宋_GB2312"/>
                <w:b w:val="0"/>
                <w:bCs/>
                <w:color w:val="auto"/>
                <w:sz w:val="21"/>
                <w:szCs w:val="21"/>
                <w:highlight w:val="none"/>
                <w:lang w:val="en-US" w:eastAsia="zh-CN"/>
              </w:rPr>
              <w:t>家庭教育人才培养与队伍建设</w:t>
            </w:r>
          </w:p>
        </w:tc>
        <w:tc>
          <w:tcPr>
            <w:tcW w:w="475" w:type="dxa"/>
            <w:tcBorders>
              <w:top w:val="nil"/>
              <w:left w:val="nil"/>
              <w:bottom w:val="single" w:color="000000" w:sz="8" w:space="0"/>
              <w:right w:val="single" w:color="000000" w:sz="8" w:space="0"/>
            </w:tcBorders>
            <w:shd w:val="clear" w:color="auto" w:fill="auto"/>
            <w:vAlign w:val="center"/>
          </w:tcPr>
          <w:p w14:paraId="18CFA85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i w:val="0"/>
                <w:iCs w:val="0"/>
                <w:color w:val="auto"/>
                <w:kern w:val="0"/>
                <w:sz w:val="21"/>
                <w:szCs w:val="21"/>
                <w:u w:val="none"/>
                <w:lang w:val="en-US" w:eastAsia="zh-CN" w:bidi="ar"/>
              </w:rPr>
              <w:t>非固投</w:t>
            </w:r>
          </w:p>
        </w:tc>
        <w:tc>
          <w:tcPr>
            <w:tcW w:w="1510" w:type="dxa"/>
            <w:tcBorders>
              <w:top w:val="nil"/>
              <w:left w:val="nil"/>
              <w:bottom w:val="single" w:color="000000" w:sz="8" w:space="0"/>
              <w:right w:val="single" w:color="000000" w:sz="8" w:space="0"/>
            </w:tcBorders>
            <w:shd w:val="clear" w:color="auto" w:fill="auto"/>
            <w:vAlign w:val="center"/>
          </w:tcPr>
          <w:p w14:paraId="1A050BC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师市</w:t>
            </w:r>
          </w:p>
          <w:p w14:paraId="1B087C2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i w:val="0"/>
                <w:iCs w:val="0"/>
                <w:color w:val="auto"/>
                <w:kern w:val="0"/>
                <w:sz w:val="21"/>
                <w:szCs w:val="21"/>
                <w:u w:val="none"/>
                <w:lang w:val="en-US" w:eastAsia="zh-CN" w:bidi="ar"/>
              </w:rPr>
              <w:t>妇联</w:t>
            </w:r>
          </w:p>
        </w:tc>
        <w:tc>
          <w:tcPr>
            <w:tcW w:w="2474" w:type="dxa"/>
            <w:tcBorders>
              <w:top w:val="nil"/>
              <w:left w:val="nil"/>
              <w:bottom w:val="single" w:color="000000" w:sz="8" w:space="0"/>
              <w:right w:val="single" w:color="000000" w:sz="8" w:space="0"/>
            </w:tcBorders>
            <w:shd w:val="clear" w:color="auto" w:fill="auto"/>
            <w:vAlign w:val="center"/>
          </w:tcPr>
          <w:p w14:paraId="0498D43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r>
              <w:rPr>
                <w:rStyle w:val="24"/>
                <w:rFonts w:hint="eastAsia" w:ascii="仿宋_GB2312" w:hAnsi="仿宋_GB2312" w:eastAsia="仿宋_GB2312" w:cs="仿宋_GB2312"/>
                <w:color w:val="auto"/>
                <w:sz w:val="21"/>
                <w:szCs w:val="21"/>
                <w:lang w:val="en-US" w:eastAsia="zh-CN" w:bidi="ar"/>
              </w:rPr>
              <w:t>通过培育，构建本地家</w:t>
            </w:r>
            <w:r>
              <w:rPr>
                <w:rStyle w:val="25"/>
                <w:rFonts w:hint="eastAsia" w:ascii="仿宋_GB2312" w:hAnsi="仿宋_GB2312" w:eastAsia="仿宋_GB2312" w:cs="仿宋_GB2312"/>
                <w:color w:val="auto"/>
                <w:sz w:val="21"/>
                <w:szCs w:val="21"/>
                <w:lang w:val="en-US" w:eastAsia="zh-CN" w:bidi="ar"/>
              </w:rPr>
              <w:t>庭教育指导师队伍</w:t>
            </w:r>
          </w:p>
        </w:tc>
        <w:tc>
          <w:tcPr>
            <w:tcW w:w="950" w:type="dxa"/>
            <w:tcBorders>
              <w:top w:val="nil"/>
              <w:left w:val="nil"/>
              <w:bottom w:val="single" w:color="000000" w:sz="8" w:space="0"/>
              <w:right w:val="single" w:color="000000" w:sz="8" w:space="0"/>
            </w:tcBorders>
            <w:shd w:val="clear" w:color="auto" w:fill="auto"/>
            <w:vAlign w:val="center"/>
          </w:tcPr>
          <w:p w14:paraId="70446AE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b w:val="0"/>
                <w:bCs/>
                <w:color w:val="auto"/>
                <w:sz w:val="21"/>
                <w:szCs w:val="21"/>
                <w:highlight w:val="none"/>
                <w:lang w:val="en-US" w:eastAsia="zh-CN"/>
              </w:rPr>
              <w:t>新星市</w:t>
            </w:r>
          </w:p>
        </w:tc>
        <w:tc>
          <w:tcPr>
            <w:tcW w:w="882" w:type="dxa"/>
            <w:tcBorders>
              <w:top w:val="nil"/>
              <w:left w:val="nil"/>
              <w:bottom w:val="single" w:color="000000" w:sz="8" w:space="0"/>
              <w:right w:val="single" w:color="000000" w:sz="8" w:space="0"/>
            </w:tcBorders>
            <w:shd w:val="clear" w:color="auto" w:fill="auto"/>
            <w:vAlign w:val="center"/>
          </w:tcPr>
          <w:p w14:paraId="2F21EF5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2027</w:t>
            </w:r>
            <w:r>
              <w:rPr>
                <w:rFonts w:hint="eastAsia" w:ascii="仿宋_GB2312" w:hAnsi="仿宋_GB2312" w:eastAsia="仿宋_GB2312" w:cs="仿宋_GB2312"/>
                <w:i w:val="0"/>
                <w:iCs w:val="0"/>
                <w:color w:val="auto"/>
                <w:kern w:val="0"/>
                <w:sz w:val="21"/>
                <w:szCs w:val="21"/>
                <w:u w:val="none"/>
                <w:lang w:val="en-US" w:eastAsia="zh-CN" w:bidi="ar"/>
              </w:rPr>
              <w:t>-</w:t>
            </w:r>
          </w:p>
          <w:p w14:paraId="358AB1E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lang w:val="en-US"/>
              </w:rPr>
            </w:pPr>
            <w:r>
              <w:rPr>
                <w:rFonts w:hint="default" w:ascii="Times New Roman" w:hAnsi="Times New Roman" w:eastAsia="仿宋_GB2312" w:cs="Times New Roman"/>
                <w:i w:val="0"/>
                <w:iCs w:val="0"/>
                <w:color w:val="auto"/>
                <w:kern w:val="0"/>
                <w:sz w:val="21"/>
                <w:szCs w:val="21"/>
                <w:u w:val="none"/>
                <w:lang w:val="en-US" w:eastAsia="zh-CN" w:bidi="ar"/>
              </w:rPr>
              <w:t>2029</w:t>
            </w:r>
          </w:p>
        </w:tc>
        <w:tc>
          <w:tcPr>
            <w:tcW w:w="2335" w:type="dxa"/>
            <w:tcBorders>
              <w:top w:val="nil"/>
              <w:left w:val="nil"/>
              <w:bottom w:val="single" w:color="000000" w:sz="8" w:space="0"/>
              <w:right w:val="single" w:color="000000" w:sz="8" w:space="0"/>
            </w:tcBorders>
            <w:shd w:val="clear" w:color="auto" w:fill="auto"/>
            <w:vAlign w:val="center"/>
          </w:tcPr>
          <w:p w14:paraId="4E31D4A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r>
              <w:rPr>
                <w:rStyle w:val="24"/>
                <w:rFonts w:hint="eastAsia" w:ascii="仿宋_GB2312" w:hAnsi="仿宋_GB2312" w:eastAsia="仿宋_GB2312" w:cs="仿宋_GB2312"/>
                <w:color w:val="auto"/>
                <w:sz w:val="21"/>
                <w:szCs w:val="21"/>
                <w:lang w:val="en-US" w:eastAsia="zh-CN" w:bidi="ar"/>
              </w:rPr>
              <w:t>累计举办</w:t>
            </w:r>
            <w:r>
              <w:rPr>
                <w:rStyle w:val="23"/>
                <w:rFonts w:hint="eastAsia" w:ascii="Times New Roman" w:hAnsi="Times New Roman" w:eastAsia="仿宋_GB2312" w:cs="Times New Roman"/>
                <w:color w:val="auto"/>
                <w:sz w:val="21"/>
                <w:szCs w:val="21"/>
                <w:lang w:val="en-US" w:eastAsia="zh-CN" w:bidi="ar"/>
              </w:rPr>
              <w:t>3</w:t>
            </w:r>
            <w:r>
              <w:rPr>
                <w:rStyle w:val="24"/>
                <w:rFonts w:hint="eastAsia" w:ascii="仿宋_GB2312" w:hAnsi="仿宋_GB2312" w:eastAsia="仿宋_GB2312" w:cs="仿宋_GB2312"/>
                <w:color w:val="auto"/>
                <w:sz w:val="21"/>
                <w:szCs w:val="21"/>
                <w:lang w:val="en-US" w:eastAsia="zh-CN" w:bidi="ar"/>
              </w:rPr>
              <w:t>期</w:t>
            </w:r>
            <w:r>
              <w:rPr>
                <w:rStyle w:val="23"/>
                <w:rFonts w:hint="default" w:ascii="Times New Roman" w:hAnsi="Times New Roman" w:eastAsia="仿宋_GB2312" w:cs="Times New Roman"/>
                <w:color w:val="auto"/>
                <w:sz w:val="21"/>
                <w:szCs w:val="21"/>
                <w:lang w:val="en-US" w:eastAsia="zh-CN" w:bidi="ar"/>
              </w:rPr>
              <w:t>90</w:t>
            </w:r>
            <w:r>
              <w:rPr>
                <w:rStyle w:val="24"/>
                <w:rFonts w:hint="eastAsia" w:ascii="仿宋_GB2312" w:hAnsi="仿宋_GB2312" w:eastAsia="仿宋_GB2312" w:cs="仿宋_GB2312"/>
                <w:color w:val="auto"/>
                <w:sz w:val="21"/>
                <w:szCs w:val="21"/>
                <w:lang w:val="en-US" w:eastAsia="zh-CN" w:bidi="ar"/>
              </w:rPr>
              <w:t>人培训班，“十五五”末每个社区至少</w:t>
            </w:r>
            <w:r>
              <w:rPr>
                <w:rStyle w:val="23"/>
                <w:rFonts w:hint="eastAsia" w:ascii="Times New Roman" w:hAnsi="Times New Roman" w:eastAsia="仿宋_GB2312" w:cs="Times New Roman"/>
                <w:color w:val="auto"/>
                <w:sz w:val="21"/>
                <w:szCs w:val="21"/>
                <w:lang w:val="en-US" w:eastAsia="zh-CN" w:bidi="ar"/>
              </w:rPr>
              <w:t>3</w:t>
            </w:r>
            <w:r>
              <w:rPr>
                <w:rStyle w:val="24"/>
                <w:rFonts w:hint="eastAsia" w:ascii="仿宋_GB2312" w:hAnsi="仿宋_GB2312" w:eastAsia="仿宋_GB2312" w:cs="仿宋_GB2312"/>
                <w:color w:val="auto"/>
                <w:sz w:val="21"/>
                <w:szCs w:val="21"/>
                <w:lang w:val="en-US" w:eastAsia="zh-CN" w:bidi="ar"/>
              </w:rPr>
              <w:t>名持证人员，含培训食宿费。</w:t>
            </w:r>
          </w:p>
        </w:tc>
        <w:tc>
          <w:tcPr>
            <w:tcW w:w="2234" w:type="dxa"/>
            <w:tcBorders>
              <w:top w:val="nil"/>
              <w:left w:val="nil"/>
              <w:bottom w:val="single" w:color="000000" w:sz="8" w:space="0"/>
              <w:right w:val="single" w:color="000000" w:sz="8" w:space="0"/>
            </w:tcBorders>
            <w:shd w:val="clear" w:color="auto" w:fill="auto"/>
            <w:vAlign w:val="center"/>
          </w:tcPr>
          <w:p w14:paraId="15A8E8E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i w:val="0"/>
                <w:iCs w:val="0"/>
                <w:color w:val="auto"/>
                <w:kern w:val="0"/>
                <w:sz w:val="21"/>
                <w:szCs w:val="21"/>
                <w:u w:val="none"/>
                <w:lang w:val="en-US" w:eastAsia="zh-CN" w:bidi="ar"/>
              </w:rPr>
              <w:t>逐步打造本地专业化队伍</w:t>
            </w:r>
          </w:p>
        </w:tc>
        <w:tc>
          <w:tcPr>
            <w:tcW w:w="1216" w:type="dxa"/>
            <w:tcBorders>
              <w:top w:val="nil"/>
              <w:left w:val="nil"/>
              <w:bottom w:val="single" w:color="000000" w:sz="8" w:space="0"/>
              <w:right w:val="single" w:color="000000" w:sz="8" w:space="0"/>
            </w:tcBorders>
            <w:shd w:val="clear" w:color="auto" w:fill="auto"/>
            <w:vAlign w:val="center"/>
          </w:tcPr>
          <w:p w14:paraId="135AB73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lang w:val="en-US" w:eastAsia="zh-CN"/>
              </w:rPr>
            </w:pPr>
            <w:r>
              <w:rPr>
                <w:rFonts w:hint="default" w:ascii="Times New Roman" w:hAnsi="Times New Roman" w:eastAsia="仿宋_GB2312" w:cs="Times New Roman"/>
                <w:i w:val="0"/>
                <w:iCs w:val="0"/>
                <w:color w:val="auto"/>
                <w:sz w:val="21"/>
                <w:szCs w:val="21"/>
                <w:u w:val="none"/>
                <w:lang w:val="en-US" w:eastAsia="zh-CN"/>
              </w:rPr>
              <w:t>30</w:t>
            </w:r>
          </w:p>
        </w:tc>
        <w:tc>
          <w:tcPr>
            <w:tcW w:w="1061" w:type="dxa"/>
            <w:tcBorders>
              <w:top w:val="nil"/>
              <w:left w:val="nil"/>
              <w:bottom w:val="single" w:color="000000" w:sz="8" w:space="0"/>
              <w:right w:val="single" w:color="000000" w:sz="8" w:space="0"/>
            </w:tcBorders>
            <w:shd w:val="clear" w:color="auto" w:fill="auto"/>
            <w:vAlign w:val="center"/>
          </w:tcPr>
          <w:p w14:paraId="4D8FDB5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lang w:val="en-US" w:eastAsia="zh-CN"/>
              </w:rPr>
            </w:pPr>
            <w:r>
              <w:rPr>
                <w:rFonts w:hint="default" w:ascii="Times New Roman" w:hAnsi="Times New Roman" w:eastAsia="仿宋_GB2312" w:cs="Times New Roman"/>
                <w:i w:val="0"/>
                <w:iCs w:val="0"/>
                <w:color w:val="auto"/>
                <w:sz w:val="21"/>
                <w:szCs w:val="21"/>
                <w:u w:val="none"/>
                <w:lang w:val="en-US" w:eastAsia="zh-CN"/>
              </w:rPr>
              <w:t>10</w:t>
            </w:r>
          </w:p>
        </w:tc>
        <w:tc>
          <w:tcPr>
            <w:tcW w:w="639" w:type="dxa"/>
            <w:tcBorders>
              <w:top w:val="nil"/>
              <w:left w:val="nil"/>
              <w:bottom w:val="single" w:color="000000" w:sz="8" w:space="0"/>
              <w:right w:val="single" w:color="000000" w:sz="8" w:space="0"/>
            </w:tcBorders>
            <w:shd w:val="clear" w:color="auto" w:fill="auto"/>
            <w:vAlign w:val="center"/>
          </w:tcPr>
          <w:p w14:paraId="2634444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lang w:eastAsia="zh-CN"/>
              </w:rPr>
            </w:pPr>
          </w:p>
        </w:tc>
      </w:tr>
      <w:tr w14:paraId="267BD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45" w:hRule="atLeast"/>
          <w:jc w:val="center"/>
        </w:trPr>
        <w:tc>
          <w:tcPr>
            <w:tcW w:w="868"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EEC015F">
            <w:pPr>
              <w:keepNext w:val="0"/>
              <w:keepLines w:val="0"/>
              <w:widowControl/>
              <w:suppressLineNumbers w:val="0"/>
              <w:snapToGrid w:val="0"/>
              <w:ind w:left="0" w:leftChars="0" w:right="0" w:rightChars="0" w:firstLine="0" w:firstLineChars="0"/>
              <w:jc w:val="both"/>
              <w:textAlignment w:val="center"/>
              <w:rPr>
                <w:rFonts w:hint="eastAsia" w:ascii="仿宋_GB2312" w:hAnsi="仿宋_GB2312" w:eastAsia="仿宋_GB2312" w:cs="仿宋_GB2312"/>
                <w:i w:val="0"/>
                <w:iCs w:val="0"/>
                <w:color w:val="auto"/>
                <w:kern w:val="0"/>
                <w:sz w:val="21"/>
                <w:szCs w:val="21"/>
                <w:u w:val="none"/>
                <w:lang w:val="en-US" w:eastAsia="zh-CN" w:bidi="ar"/>
              </w:rPr>
            </w:pPr>
          </w:p>
          <w:p w14:paraId="0228083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活动</w:t>
            </w:r>
          </w:p>
          <w:p w14:paraId="2F8E6B8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i w:val="0"/>
                <w:iCs w:val="0"/>
                <w:color w:val="auto"/>
                <w:kern w:val="0"/>
                <w:sz w:val="21"/>
                <w:szCs w:val="21"/>
                <w:u w:val="none"/>
                <w:lang w:val="en-US" w:eastAsia="zh-CN" w:bidi="ar"/>
              </w:rPr>
              <w:t>开展</w:t>
            </w:r>
          </w:p>
          <w:p w14:paraId="3655B8D1">
            <w:pPr>
              <w:keepNext w:val="0"/>
              <w:keepLines w:val="0"/>
              <w:widowControl/>
              <w:suppressLineNumbers w:val="0"/>
              <w:snapToGrid w:val="0"/>
              <w:ind w:left="0" w:leftChars="0" w:right="0" w:rightChars="0" w:firstLine="0" w:firstLineChars="0"/>
              <w:jc w:val="both"/>
              <w:textAlignment w:val="center"/>
              <w:rPr>
                <w:rFonts w:hint="eastAsia" w:ascii="仿宋_GB2312" w:hAnsi="仿宋_GB2312" w:eastAsia="仿宋_GB2312" w:cs="仿宋_GB2312"/>
                <w:color w:val="auto"/>
                <w:sz w:val="21"/>
                <w:szCs w:val="21"/>
                <w:lang w:val="en-US" w:eastAsia="zh-CN"/>
              </w:rPr>
            </w:pPr>
          </w:p>
        </w:tc>
        <w:tc>
          <w:tcPr>
            <w:tcW w:w="1074" w:type="dxa"/>
            <w:tcBorders>
              <w:top w:val="single" w:color="000000" w:sz="8" w:space="0"/>
              <w:left w:val="nil"/>
              <w:bottom w:val="single" w:color="000000" w:sz="8" w:space="0"/>
              <w:right w:val="single" w:color="000000" w:sz="8" w:space="0"/>
            </w:tcBorders>
            <w:shd w:val="clear" w:color="auto" w:fill="auto"/>
            <w:vAlign w:val="center"/>
          </w:tcPr>
          <w:p w14:paraId="156C7FC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kern w:val="2"/>
                <w:sz w:val="18"/>
                <w:szCs w:val="18"/>
                <w:highlight w:val="none"/>
                <w:lang w:val="en-US" w:eastAsia="zh-CN" w:bidi="ar-SA"/>
              </w:rPr>
            </w:pPr>
            <w:r>
              <w:rPr>
                <w:rFonts w:hint="eastAsia" w:ascii="仿宋_GB2312" w:hAnsi="仿宋_GB2312" w:eastAsia="仿宋_GB2312" w:cs="仿宋_GB2312"/>
                <w:b w:val="0"/>
                <w:bCs/>
                <w:color w:val="auto"/>
                <w:sz w:val="21"/>
                <w:szCs w:val="21"/>
                <w:highlight w:val="none"/>
                <w:lang w:val="en-US" w:eastAsia="zh-CN"/>
              </w:rPr>
              <w:t>木兰·巾帼援疆行</w:t>
            </w:r>
          </w:p>
        </w:tc>
        <w:tc>
          <w:tcPr>
            <w:tcW w:w="475" w:type="dxa"/>
            <w:tcBorders>
              <w:top w:val="single" w:color="000000" w:sz="8" w:space="0"/>
              <w:left w:val="nil"/>
              <w:bottom w:val="single" w:color="000000" w:sz="8" w:space="0"/>
              <w:right w:val="single" w:color="000000" w:sz="8" w:space="0"/>
            </w:tcBorders>
            <w:shd w:val="clear" w:color="auto" w:fill="auto"/>
            <w:vAlign w:val="center"/>
          </w:tcPr>
          <w:p w14:paraId="4E52CCF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非固投</w:t>
            </w:r>
          </w:p>
        </w:tc>
        <w:tc>
          <w:tcPr>
            <w:tcW w:w="1510" w:type="dxa"/>
            <w:tcBorders>
              <w:top w:val="single" w:color="000000" w:sz="8" w:space="0"/>
              <w:left w:val="nil"/>
              <w:bottom w:val="single" w:color="000000" w:sz="8" w:space="0"/>
              <w:right w:val="single" w:color="000000" w:sz="8" w:space="0"/>
            </w:tcBorders>
            <w:shd w:val="clear" w:color="auto" w:fill="auto"/>
            <w:vAlign w:val="center"/>
          </w:tcPr>
          <w:p w14:paraId="0A1DD67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师市</w:t>
            </w:r>
          </w:p>
          <w:p w14:paraId="241A602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妇联</w:t>
            </w:r>
          </w:p>
        </w:tc>
        <w:tc>
          <w:tcPr>
            <w:tcW w:w="2474" w:type="dxa"/>
            <w:tcBorders>
              <w:top w:val="single" w:color="000000" w:sz="8" w:space="0"/>
              <w:left w:val="nil"/>
              <w:bottom w:val="single" w:color="000000" w:sz="8" w:space="0"/>
              <w:right w:val="single" w:color="000000" w:sz="8" w:space="0"/>
            </w:tcBorders>
            <w:shd w:val="clear" w:color="auto" w:fill="auto"/>
            <w:vAlign w:val="center"/>
          </w:tcPr>
          <w:p w14:paraId="50E4846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组织各民族家庭代表赴重庆开展“三交”活动</w:t>
            </w:r>
          </w:p>
        </w:tc>
        <w:tc>
          <w:tcPr>
            <w:tcW w:w="950" w:type="dxa"/>
            <w:tcBorders>
              <w:top w:val="single" w:color="000000" w:sz="8" w:space="0"/>
              <w:left w:val="nil"/>
              <w:bottom w:val="single" w:color="000000" w:sz="8" w:space="0"/>
              <w:right w:val="single" w:color="000000" w:sz="8" w:space="0"/>
            </w:tcBorders>
            <w:shd w:val="clear" w:color="auto" w:fill="auto"/>
            <w:vAlign w:val="center"/>
          </w:tcPr>
          <w:p w14:paraId="013DDDF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sz w:val="21"/>
                <w:szCs w:val="21"/>
                <w:u w:val="none"/>
                <w:lang w:eastAsia="zh-CN"/>
              </w:rPr>
              <w:t>重庆市</w:t>
            </w:r>
          </w:p>
        </w:tc>
        <w:tc>
          <w:tcPr>
            <w:tcW w:w="882" w:type="dxa"/>
            <w:tcBorders>
              <w:top w:val="single" w:color="000000" w:sz="8" w:space="0"/>
              <w:left w:val="nil"/>
              <w:bottom w:val="single" w:color="000000" w:sz="8" w:space="0"/>
              <w:right w:val="single" w:color="000000" w:sz="8" w:space="0"/>
            </w:tcBorders>
            <w:shd w:val="clear" w:color="auto" w:fill="auto"/>
            <w:vAlign w:val="center"/>
          </w:tcPr>
          <w:p w14:paraId="3CBB5DB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2026</w:t>
            </w:r>
            <w:r>
              <w:rPr>
                <w:rFonts w:hint="eastAsia" w:ascii="仿宋_GB2312" w:hAnsi="仿宋_GB2312" w:eastAsia="仿宋_GB2312" w:cs="仿宋_GB2312"/>
                <w:i w:val="0"/>
                <w:iCs w:val="0"/>
                <w:color w:val="auto"/>
                <w:kern w:val="0"/>
                <w:sz w:val="21"/>
                <w:szCs w:val="21"/>
                <w:u w:val="none"/>
                <w:lang w:val="en-US" w:eastAsia="zh-CN" w:bidi="ar"/>
              </w:rPr>
              <w:t>-</w:t>
            </w:r>
          </w:p>
          <w:p w14:paraId="6EDC6D5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2030</w:t>
            </w:r>
          </w:p>
        </w:tc>
        <w:tc>
          <w:tcPr>
            <w:tcW w:w="2335" w:type="dxa"/>
            <w:tcBorders>
              <w:top w:val="single" w:color="000000" w:sz="8" w:space="0"/>
              <w:left w:val="nil"/>
              <w:bottom w:val="single" w:color="000000" w:sz="8" w:space="0"/>
              <w:right w:val="single" w:color="000000" w:sz="8" w:space="0"/>
            </w:tcBorders>
            <w:shd w:val="clear" w:color="auto" w:fill="auto"/>
            <w:vAlign w:val="center"/>
          </w:tcPr>
          <w:p w14:paraId="5802389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累计组织</w:t>
            </w:r>
            <w:r>
              <w:rPr>
                <w:rFonts w:hint="default" w:ascii="Times New Roman" w:hAnsi="Times New Roman" w:eastAsia="仿宋_GB2312" w:cs="Times New Roman"/>
                <w:i w:val="0"/>
                <w:iCs w:val="0"/>
                <w:color w:val="auto"/>
                <w:kern w:val="0"/>
                <w:sz w:val="21"/>
                <w:szCs w:val="21"/>
                <w:u w:val="none"/>
                <w:lang w:val="en-US" w:eastAsia="zh-CN" w:bidi="ar"/>
              </w:rPr>
              <w:t>60</w:t>
            </w:r>
            <w:r>
              <w:rPr>
                <w:rStyle w:val="23"/>
                <w:rFonts w:hint="eastAsia" w:ascii="Times New Roman" w:hAnsi="Times New Roman" w:eastAsia="仿宋_GB2312" w:cs="Times New Roman"/>
                <w:color w:val="auto"/>
                <w:sz w:val="21"/>
                <w:szCs w:val="21"/>
                <w:lang w:val="en-US" w:eastAsia="zh-CN" w:bidi="ar"/>
              </w:rPr>
              <w:t>户</w:t>
            </w:r>
            <w:r>
              <w:rPr>
                <w:rStyle w:val="23"/>
                <w:rFonts w:hint="default" w:ascii="Times New Roman" w:hAnsi="Times New Roman" w:eastAsia="仿宋_GB2312" w:cs="Times New Roman"/>
                <w:color w:val="auto"/>
                <w:sz w:val="21"/>
                <w:szCs w:val="21"/>
                <w:lang w:val="en-US" w:eastAsia="zh-CN" w:bidi="ar"/>
              </w:rPr>
              <w:t>18</w:t>
            </w:r>
            <w:r>
              <w:rPr>
                <w:rStyle w:val="23"/>
                <w:rFonts w:hint="eastAsia" w:ascii="Times New Roman" w:hAnsi="Times New Roman" w:eastAsia="仿宋_GB2312" w:cs="Times New Roman"/>
                <w:color w:val="auto"/>
                <w:sz w:val="21"/>
                <w:szCs w:val="21"/>
                <w:lang w:val="en-US" w:eastAsia="zh-CN" w:bidi="ar"/>
              </w:rPr>
              <w:t>0</w:t>
            </w:r>
            <w:r>
              <w:rPr>
                <w:rFonts w:hint="eastAsia" w:ascii="仿宋_GB2312" w:hAnsi="仿宋_GB2312" w:eastAsia="仿宋_GB2312" w:cs="仿宋_GB2312"/>
                <w:i w:val="0"/>
                <w:iCs w:val="0"/>
                <w:color w:val="auto"/>
                <w:kern w:val="0"/>
                <w:sz w:val="21"/>
                <w:szCs w:val="21"/>
                <w:u w:val="none"/>
                <w:lang w:val="en-US" w:eastAsia="zh-CN" w:bidi="ar"/>
              </w:rPr>
              <w:t>名各民族的家庭代表</w:t>
            </w:r>
          </w:p>
        </w:tc>
        <w:tc>
          <w:tcPr>
            <w:tcW w:w="2234" w:type="dxa"/>
            <w:tcBorders>
              <w:top w:val="single" w:color="000000" w:sz="8" w:space="0"/>
              <w:left w:val="nil"/>
              <w:bottom w:val="single" w:color="000000" w:sz="8" w:space="0"/>
              <w:right w:val="single" w:color="000000" w:sz="8" w:space="0"/>
            </w:tcBorders>
            <w:shd w:val="clear" w:color="auto" w:fill="auto"/>
            <w:vAlign w:val="center"/>
          </w:tcPr>
          <w:p w14:paraId="151F7FD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促进各民族交往交流交融，铸牢中华民族共同体意识</w:t>
            </w:r>
          </w:p>
        </w:tc>
        <w:tc>
          <w:tcPr>
            <w:tcW w:w="1216" w:type="dxa"/>
            <w:tcBorders>
              <w:top w:val="single" w:color="000000" w:sz="8" w:space="0"/>
              <w:left w:val="nil"/>
              <w:bottom w:val="single" w:color="000000" w:sz="8" w:space="0"/>
              <w:right w:val="single" w:color="000000" w:sz="8" w:space="0"/>
            </w:tcBorders>
            <w:shd w:val="clear" w:color="auto" w:fill="auto"/>
            <w:vAlign w:val="center"/>
          </w:tcPr>
          <w:p w14:paraId="0E406448">
            <w:pPr>
              <w:keepNext w:val="0"/>
              <w:keepLines w:val="0"/>
              <w:widowControl/>
              <w:suppressLineNumbers w:val="0"/>
              <w:snapToGrid w:val="0"/>
              <w:ind w:left="0" w:leftChars="0" w:right="0" w:rightChars="0" w:firstLine="0" w:firstLineChars="0"/>
              <w:jc w:val="center"/>
              <w:textAlignment w:val="center"/>
              <w:rPr>
                <w:rFonts w:hint="default" w:ascii="仿宋_GB2312" w:hAnsi="仿宋_GB2312" w:eastAsia="仿宋_GB2312" w:cs="仿宋_GB2312"/>
                <w:i w:val="0"/>
                <w:iCs w:val="0"/>
                <w:color w:val="auto"/>
                <w:kern w:val="2"/>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16</w:t>
            </w:r>
            <w:r>
              <w:rPr>
                <w:rFonts w:hint="eastAsia" w:ascii="Times New Roman" w:hAnsi="Times New Roman" w:eastAsia="仿宋_GB2312" w:cs="Times New Roman"/>
                <w:i w:val="0"/>
                <w:iCs w:val="0"/>
                <w:color w:val="auto"/>
                <w:kern w:val="0"/>
                <w:sz w:val="21"/>
                <w:szCs w:val="21"/>
                <w:u w:val="none"/>
                <w:lang w:val="en-US" w:eastAsia="zh-CN" w:bidi="ar"/>
              </w:rPr>
              <w:t>0</w:t>
            </w:r>
          </w:p>
        </w:tc>
        <w:tc>
          <w:tcPr>
            <w:tcW w:w="1061" w:type="dxa"/>
            <w:tcBorders>
              <w:top w:val="single" w:color="000000" w:sz="8" w:space="0"/>
              <w:left w:val="nil"/>
              <w:bottom w:val="single" w:color="000000" w:sz="8" w:space="0"/>
              <w:right w:val="single" w:color="000000" w:sz="8" w:space="0"/>
            </w:tcBorders>
            <w:shd w:val="clear" w:color="auto" w:fill="auto"/>
            <w:vAlign w:val="center"/>
          </w:tcPr>
          <w:p w14:paraId="427825D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32</w:t>
            </w:r>
          </w:p>
        </w:tc>
        <w:tc>
          <w:tcPr>
            <w:tcW w:w="639" w:type="dxa"/>
            <w:tcBorders>
              <w:top w:val="single" w:color="000000" w:sz="8" w:space="0"/>
              <w:left w:val="nil"/>
              <w:bottom w:val="single" w:color="000000" w:sz="8" w:space="0"/>
              <w:right w:val="single" w:color="000000" w:sz="8" w:space="0"/>
            </w:tcBorders>
            <w:shd w:val="clear" w:color="auto" w:fill="auto"/>
            <w:vAlign w:val="center"/>
          </w:tcPr>
          <w:p w14:paraId="7F0E0D2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p>
        </w:tc>
      </w:tr>
      <w:tr w14:paraId="28E06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160" w:hRule="atLeast"/>
          <w:jc w:val="center"/>
        </w:trPr>
        <w:tc>
          <w:tcPr>
            <w:tcW w:w="86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B49B792">
            <w:pPr>
              <w:snapToGrid w:val="0"/>
              <w:ind w:left="0" w:leftChars="0" w:right="0" w:rightChars="0" w:firstLine="0" w:firstLineChars="0"/>
              <w:jc w:val="center"/>
              <w:rPr>
                <w:rFonts w:hint="eastAsia" w:ascii="仿宋_GB2312" w:hAnsi="仿宋_GB2312" w:eastAsia="仿宋_GB2312" w:cs="仿宋_GB2312"/>
                <w:i w:val="0"/>
                <w:iCs w:val="0"/>
                <w:color w:val="auto"/>
                <w:sz w:val="21"/>
                <w:szCs w:val="21"/>
                <w:u w:val="none"/>
              </w:rPr>
            </w:pPr>
          </w:p>
        </w:tc>
        <w:tc>
          <w:tcPr>
            <w:tcW w:w="1074" w:type="dxa"/>
            <w:tcBorders>
              <w:top w:val="nil"/>
              <w:left w:val="nil"/>
              <w:bottom w:val="single" w:color="000000" w:sz="8" w:space="0"/>
              <w:right w:val="single" w:color="000000" w:sz="8" w:space="0"/>
            </w:tcBorders>
            <w:shd w:val="clear" w:color="auto" w:fill="auto"/>
            <w:vAlign w:val="center"/>
          </w:tcPr>
          <w:p w14:paraId="5F2F57C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b w:val="0"/>
                <w:bCs/>
                <w:color w:val="auto"/>
                <w:sz w:val="21"/>
                <w:szCs w:val="21"/>
                <w:highlight w:val="none"/>
                <w:lang w:val="en-US" w:eastAsia="zh-CN"/>
              </w:rPr>
              <w:t>木兰∙百场家庭教育进万家</w:t>
            </w:r>
          </w:p>
        </w:tc>
        <w:tc>
          <w:tcPr>
            <w:tcW w:w="475" w:type="dxa"/>
            <w:tcBorders>
              <w:top w:val="nil"/>
              <w:left w:val="nil"/>
              <w:bottom w:val="single" w:color="000000" w:sz="8" w:space="0"/>
              <w:right w:val="single" w:color="000000" w:sz="8" w:space="0"/>
            </w:tcBorders>
            <w:shd w:val="clear" w:color="auto" w:fill="auto"/>
            <w:vAlign w:val="center"/>
          </w:tcPr>
          <w:p w14:paraId="71EA1F9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非固投</w:t>
            </w:r>
          </w:p>
        </w:tc>
        <w:tc>
          <w:tcPr>
            <w:tcW w:w="1510" w:type="dxa"/>
            <w:tcBorders>
              <w:top w:val="nil"/>
              <w:left w:val="nil"/>
              <w:bottom w:val="single" w:color="000000" w:sz="8" w:space="0"/>
              <w:right w:val="single" w:color="000000" w:sz="8" w:space="0"/>
            </w:tcBorders>
            <w:shd w:val="clear" w:color="auto" w:fill="auto"/>
            <w:vAlign w:val="center"/>
          </w:tcPr>
          <w:p w14:paraId="6B41C39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师市</w:t>
            </w:r>
          </w:p>
          <w:p w14:paraId="5DDC464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妇联</w:t>
            </w:r>
          </w:p>
        </w:tc>
        <w:tc>
          <w:tcPr>
            <w:tcW w:w="2474" w:type="dxa"/>
            <w:tcBorders>
              <w:top w:val="nil"/>
              <w:left w:val="nil"/>
              <w:bottom w:val="single" w:color="000000" w:sz="8" w:space="0"/>
              <w:right w:val="single" w:color="000000" w:sz="8" w:space="0"/>
            </w:tcBorders>
            <w:shd w:val="clear" w:color="auto" w:fill="auto"/>
            <w:vAlign w:val="center"/>
          </w:tcPr>
          <w:p w14:paraId="5E59F4B8">
            <w:pPr>
              <w:keepNext w:val="0"/>
              <w:keepLines w:val="0"/>
              <w:widowControl/>
              <w:suppressLineNumbers w:val="0"/>
              <w:snapToGrid w:val="0"/>
              <w:ind w:left="0" w:leftChars="0" w:right="0" w:rightChars="0" w:firstLine="0" w:firstLineChars="0"/>
              <w:jc w:val="both"/>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为职工群众和家长送去家门口的家庭教育指导服务</w:t>
            </w:r>
          </w:p>
        </w:tc>
        <w:tc>
          <w:tcPr>
            <w:tcW w:w="950" w:type="dxa"/>
            <w:tcBorders>
              <w:top w:val="nil"/>
              <w:left w:val="nil"/>
              <w:bottom w:val="single" w:color="000000" w:sz="8" w:space="0"/>
              <w:right w:val="single" w:color="000000" w:sz="8" w:space="0"/>
            </w:tcBorders>
            <w:shd w:val="clear" w:color="auto" w:fill="auto"/>
            <w:vAlign w:val="center"/>
          </w:tcPr>
          <w:p w14:paraId="5C950EBD">
            <w:pPr>
              <w:keepNext w:val="0"/>
              <w:keepLines w:val="0"/>
              <w:widowControl/>
              <w:suppressLineNumbers w:val="0"/>
              <w:snapToGrid w:val="0"/>
              <w:ind w:left="0" w:leftChars="0" w:right="0" w:rightChars="0" w:firstLine="210" w:firstLineChars="100"/>
              <w:jc w:val="both"/>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b w:val="0"/>
                <w:bCs/>
                <w:color w:val="auto"/>
                <w:kern w:val="2"/>
                <w:sz w:val="21"/>
                <w:szCs w:val="21"/>
                <w:highlight w:val="none"/>
                <w:lang w:val="en-US" w:eastAsia="zh-CN" w:bidi="ar-SA"/>
              </w:rPr>
              <w:t>社区</w:t>
            </w:r>
          </w:p>
        </w:tc>
        <w:tc>
          <w:tcPr>
            <w:tcW w:w="882" w:type="dxa"/>
            <w:tcBorders>
              <w:top w:val="nil"/>
              <w:left w:val="nil"/>
              <w:bottom w:val="single" w:color="000000" w:sz="8" w:space="0"/>
              <w:right w:val="single" w:color="000000" w:sz="8" w:space="0"/>
            </w:tcBorders>
            <w:shd w:val="clear" w:color="auto" w:fill="auto"/>
            <w:vAlign w:val="center"/>
          </w:tcPr>
          <w:p w14:paraId="5A6E5D1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2026</w:t>
            </w:r>
            <w:r>
              <w:rPr>
                <w:rFonts w:hint="eastAsia" w:ascii="仿宋_GB2312" w:hAnsi="仿宋_GB2312" w:eastAsia="仿宋_GB2312" w:cs="仿宋_GB2312"/>
                <w:i w:val="0"/>
                <w:iCs w:val="0"/>
                <w:color w:val="auto"/>
                <w:kern w:val="0"/>
                <w:sz w:val="21"/>
                <w:szCs w:val="21"/>
                <w:u w:val="none"/>
                <w:lang w:val="en-US" w:eastAsia="zh-CN" w:bidi="ar"/>
              </w:rPr>
              <w:t>-</w:t>
            </w:r>
          </w:p>
          <w:p w14:paraId="3DFB0CE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2030</w:t>
            </w:r>
          </w:p>
        </w:tc>
        <w:tc>
          <w:tcPr>
            <w:tcW w:w="2335" w:type="dxa"/>
            <w:tcBorders>
              <w:top w:val="nil"/>
              <w:left w:val="nil"/>
              <w:bottom w:val="single" w:color="000000" w:sz="8" w:space="0"/>
              <w:right w:val="single" w:color="000000" w:sz="8" w:space="0"/>
            </w:tcBorders>
            <w:shd w:val="clear" w:color="auto" w:fill="auto"/>
            <w:vAlign w:val="center"/>
          </w:tcPr>
          <w:p w14:paraId="6CF2C19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Style w:val="24"/>
                <w:rFonts w:hint="eastAsia" w:ascii="仿宋_GB2312" w:hAnsi="仿宋_GB2312" w:eastAsia="仿宋_GB2312" w:cs="仿宋_GB2312"/>
                <w:color w:val="auto"/>
                <w:sz w:val="21"/>
                <w:szCs w:val="21"/>
                <w:lang w:val="en-US" w:eastAsia="zh-CN" w:bidi="ar"/>
              </w:rPr>
              <w:t>累计开展活动</w:t>
            </w:r>
            <w:r>
              <w:rPr>
                <w:rStyle w:val="23"/>
                <w:rFonts w:hint="default" w:ascii="Times New Roman" w:hAnsi="Times New Roman" w:eastAsia="仿宋_GB2312" w:cs="Times New Roman"/>
                <w:color w:val="auto"/>
                <w:sz w:val="21"/>
                <w:szCs w:val="21"/>
                <w:lang w:val="en-US" w:eastAsia="zh-CN" w:bidi="ar"/>
              </w:rPr>
              <w:t>50</w:t>
            </w:r>
            <w:r>
              <w:rPr>
                <w:rStyle w:val="23"/>
                <w:rFonts w:hint="eastAsia" w:ascii="Times New Roman" w:hAnsi="Times New Roman" w:eastAsia="仿宋_GB2312" w:cs="Times New Roman"/>
                <w:color w:val="auto"/>
                <w:sz w:val="21"/>
                <w:szCs w:val="21"/>
                <w:lang w:val="en-US" w:eastAsia="zh-CN" w:bidi="ar"/>
              </w:rPr>
              <w:t>0</w:t>
            </w:r>
            <w:r>
              <w:rPr>
                <w:rStyle w:val="24"/>
                <w:rFonts w:hint="eastAsia" w:ascii="仿宋_GB2312" w:hAnsi="仿宋_GB2312" w:eastAsia="仿宋_GB2312" w:cs="仿宋_GB2312"/>
                <w:color w:val="auto"/>
                <w:sz w:val="21"/>
                <w:szCs w:val="21"/>
                <w:lang w:val="en-US" w:eastAsia="zh-CN" w:bidi="ar"/>
              </w:rPr>
              <w:t>场次以上、覆盖家庭不少于</w:t>
            </w:r>
            <w:r>
              <w:rPr>
                <w:rStyle w:val="23"/>
                <w:rFonts w:hint="default" w:ascii="Times New Roman" w:hAnsi="Times New Roman" w:eastAsia="仿宋_GB2312" w:cs="Times New Roman"/>
                <w:color w:val="auto"/>
                <w:sz w:val="21"/>
                <w:szCs w:val="21"/>
                <w:lang w:val="en-US" w:eastAsia="zh-CN" w:bidi="ar"/>
              </w:rPr>
              <w:t>1.5</w:t>
            </w:r>
            <w:r>
              <w:rPr>
                <w:rStyle w:val="24"/>
                <w:rFonts w:hint="eastAsia" w:ascii="仿宋_GB2312" w:hAnsi="仿宋_GB2312" w:eastAsia="仿宋_GB2312" w:cs="仿宋_GB2312"/>
                <w:color w:val="auto"/>
                <w:sz w:val="21"/>
                <w:szCs w:val="21"/>
                <w:lang w:val="en-US" w:eastAsia="zh-CN" w:bidi="ar"/>
              </w:rPr>
              <w:t>万户</w:t>
            </w:r>
          </w:p>
        </w:tc>
        <w:tc>
          <w:tcPr>
            <w:tcW w:w="2234" w:type="dxa"/>
            <w:tcBorders>
              <w:top w:val="nil"/>
              <w:left w:val="nil"/>
              <w:bottom w:val="single" w:color="000000" w:sz="8" w:space="0"/>
              <w:right w:val="single" w:color="000000" w:sz="8" w:space="0"/>
            </w:tcBorders>
            <w:shd w:val="clear" w:color="auto" w:fill="auto"/>
            <w:vAlign w:val="center"/>
          </w:tcPr>
          <w:p w14:paraId="598EE40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提升家长家庭教育意识和能力，传承兵团精神、军垦红色家风</w:t>
            </w:r>
          </w:p>
        </w:tc>
        <w:tc>
          <w:tcPr>
            <w:tcW w:w="1216" w:type="dxa"/>
            <w:tcBorders>
              <w:top w:val="nil"/>
              <w:left w:val="nil"/>
              <w:bottom w:val="single" w:color="000000" w:sz="8" w:space="0"/>
              <w:right w:val="single" w:color="000000" w:sz="8" w:space="0"/>
            </w:tcBorders>
            <w:shd w:val="clear" w:color="auto" w:fill="auto"/>
            <w:vAlign w:val="center"/>
          </w:tcPr>
          <w:p w14:paraId="5E28E6E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default" w:ascii="Times New Roman" w:hAnsi="Times New Roman" w:eastAsia="仿宋_GB2312" w:cs="Times New Roman"/>
                <w:i w:val="0"/>
                <w:iCs w:val="0"/>
                <w:color w:val="auto"/>
                <w:sz w:val="21"/>
                <w:szCs w:val="21"/>
                <w:u w:val="none"/>
                <w:lang w:val="en-US" w:eastAsia="zh-CN"/>
              </w:rPr>
              <w:t>50</w:t>
            </w:r>
          </w:p>
        </w:tc>
        <w:tc>
          <w:tcPr>
            <w:tcW w:w="1061" w:type="dxa"/>
            <w:tcBorders>
              <w:top w:val="nil"/>
              <w:left w:val="nil"/>
              <w:bottom w:val="single" w:color="000000" w:sz="8" w:space="0"/>
              <w:right w:val="single" w:color="000000" w:sz="8" w:space="0"/>
            </w:tcBorders>
            <w:shd w:val="clear" w:color="auto" w:fill="auto"/>
            <w:vAlign w:val="center"/>
          </w:tcPr>
          <w:p w14:paraId="7ECD556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10</w:t>
            </w:r>
          </w:p>
        </w:tc>
        <w:tc>
          <w:tcPr>
            <w:tcW w:w="63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77DD89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2"/>
                <w:sz w:val="21"/>
                <w:szCs w:val="21"/>
                <w:u w:val="none"/>
                <w:lang w:val="en-US" w:eastAsia="zh-CN" w:bidi="ar-SA"/>
              </w:rPr>
            </w:pPr>
          </w:p>
        </w:tc>
      </w:tr>
      <w:tr w14:paraId="01838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486" w:hRule="atLeast"/>
          <w:jc w:val="center"/>
        </w:trPr>
        <w:tc>
          <w:tcPr>
            <w:tcW w:w="86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2C77418">
            <w:pPr>
              <w:snapToGrid w:val="0"/>
              <w:ind w:left="0" w:leftChars="0" w:right="0" w:rightChars="0" w:firstLine="0" w:firstLineChars="0"/>
              <w:jc w:val="center"/>
              <w:rPr>
                <w:rFonts w:hint="eastAsia" w:ascii="仿宋_GB2312" w:hAnsi="仿宋_GB2312" w:eastAsia="仿宋_GB2312" w:cs="仿宋_GB2312"/>
                <w:i w:val="0"/>
                <w:iCs w:val="0"/>
                <w:color w:val="auto"/>
                <w:sz w:val="21"/>
                <w:szCs w:val="21"/>
                <w:u w:val="none"/>
              </w:rPr>
            </w:pPr>
          </w:p>
        </w:tc>
        <w:tc>
          <w:tcPr>
            <w:tcW w:w="1074" w:type="dxa"/>
            <w:tcBorders>
              <w:top w:val="single" w:color="000000" w:sz="8" w:space="0"/>
              <w:left w:val="nil"/>
              <w:bottom w:val="single" w:color="000000" w:sz="8" w:space="0"/>
              <w:right w:val="single" w:color="000000" w:sz="8" w:space="0"/>
            </w:tcBorders>
            <w:shd w:val="clear" w:color="auto" w:fill="auto"/>
            <w:vAlign w:val="center"/>
          </w:tcPr>
          <w:p w14:paraId="7A77124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sz w:val="18"/>
                <w:szCs w:val="18"/>
                <w:highlight w:val="none"/>
                <w:lang w:val="en-US" w:eastAsia="zh-CN"/>
              </w:rPr>
            </w:pPr>
            <w:r>
              <w:rPr>
                <w:rFonts w:hint="eastAsia" w:ascii="仿宋_GB2312" w:hAnsi="仿宋_GB2312" w:eastAsia="仿宋_GB2312" w:cs="仿宋_GB2312"/>
                <w:b w:val="0"/>
                <w:bCs/>
                <w:color w:val="auto"/>
                <w:sz w:val="21"/>
                <w:szCs w:val="21"/>
                <w:highlight w:val="none"/>
                <w:lang w:val="en-US" w:eastAsia="zh-CN"/>
              </w:rPr>
              <w:t>特殊家庭帮扶项目</w:t>
            </w:r>
          </w:p>
        </w:tc>
        <w:tc>
          <w:tcPr>
            <w:tcW w:w="475" w:type="dxa"/>
            <w:tcBorders>
              <w:top w:val="single" w:color="000000" w:sz="8" w:space="0"/>
              <w:left w:val="nil"/>
              <w:bottom w:val="single" w:color="000000" w:sz="8" w:space="0"/>
              <w:right w:val="single" w:color="000000" w:sz="8" w:space="0"/>
            </w:tcBorders>
            <w:shd w:val="clear" w:color="auto" w:fill="auto"/>
            <w:vAlign w:val="center"/>
          </w:tcPr>
          <w:p w14:paraId="696F886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i w:val="0"/>
                <w:iCs w:val="0"/>
                <w:color w:val="auto"/>
                <w:kern w:val="0"/>
                <w:sz w:val="21"/>
                <w:szCs w:val="21"/>
                <w:u w:val="none"/>
                <w:lang w:val="en-US" w:eastAsia="zh-CN" w:bidi="ar"/>
              </w:rPr>
              <w:t>非固投</w:t>
            </w:r>
          </w:p>
        </w:tc>
        <w:tc>
          <w:tcPr>
            <w:tcW w:w="1510" w:type="dxa"/>
            <w:tcBorders>
              <w:top w:val="single" w:color="000000" w:sz="8" w:space="0"/>
              <w:left w:val="nil"/>
              <w:bottom w:val="single" w:color="000000" w:sz="8" w:space="0"/>
              <w:right w:val="single" w:color="000000" w:sz="8" w:space="0"/>
            </w:tcBorders>
            <w:shd w:val="clear" w:color="auto" w:fill="auto"/>
            <w:vAlign w:val="center"/>
          </w:tcPr>
          <w:p w14:paraId="5A8C291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师市</w:t>
            </w:r>
          </w:p>
          <w:p w14:paraId="6C101D6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kern w:val="2"/>
                <w:sz w:val="21"/>
                <w:szCs w:val="21"/>
                <w:highlight w:val="none"/>
                <w:lang w:val="en-US" w:eastAsia="zh-CN" w:bidi="ar-SA"/>
              </w:rPr>
            </w:pPr>
            <w:r>
              <w:rPr>
                <w:rFonts w:hint="eastAsia" w:ascii="仿宋_GB2312" w:hAnsi="仿宋_GB2312" w:eastAsia="仿宋_GB2312" w:cs="仿宋_GB2312"/>
                <w:b w:val="0"/>
                <w:bCs/>
                <w:color w:val="auto"/>
                <w:kern w:val="2"/>
                <w:sz w:val="21"/>
                <w:szCs w:val="21"/>
                <w:highlight w:val="none"/>
                <w:lang w:val="en-US" w:eastAsia="zh-CN" w:bidi="ar-SA"/>
              </w:rPr>
              <w:t>团场</w:t>
            </w:r>
          </w:p>
          <w:p w14:paraId="38CCC23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社区</w:t>
            </w:r>
          </w:p>
          <w:p w14:paraId="7C49FB4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i w:val="0"/>
                <w:iCs w:val="0"/>
                <w:color w:val="auto"/>
                <w:kern w:val="0"/>
                <w:sz w:val="21"/>
                <w:szCs w:val="21"/>
                <w:u w:val="none"/>
                <w:lang w:val="en-US" w:eastAsia="zh-CN" w:bidi="ar"/>
              </w:rPr>
              <w:t>妇联</w:t>
            </w:r>
          </w:p>
        </w:tc>
        <w:tc>
          <w:tcPr>
            <w:tcW w:w="2474" w:type="dxa"/>
            <w:tcBorders>
              <w:top w:val="single" w:color="000000" w:sz="8" w:space="0"/>
              <w:left w:val="nil"/>
              <w:bottom w:val="single" w:color="000000" w:sz="8" w:space="0"/>
              <w:right w:val="single" w:color="000000" w:sz="8" w:space="0"/>
            </w:tcBorders>
            <w:shd w:val="clear" w:color="auto" w:fill="auto"/>
            <w:vAlign w:val="center"/>
          </w:tcPr>
          <w:p w14:paraId="38420A9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b w:val="0"/>
                <w:bCs/>
                <w:color w:val="auto"/>
                <w:kern w:val="2"/>
                <w:sz w:val="21"/>
                <w:szCs w:val="21"/>
                <w:highlight w:val="none"/>
                <w:lang w:val="en-US" w:eastAsia="zh-CN" w:bidi="ar-SA"/>
              </w:rPr>
              <w:t>对留守、残疾等家庭建档立卡提供“一对一”心理辅导帮扶</w:t>
            </w:r>
          </w:p>
        </w:tc>
        <w:tc>
          <w:tcPr>
            <w:tcW w:w="950" w:type="dxa"/>
            <w:tcBorders>
              <w:top w:val="single" w:color="000000" w:sz="8" w:space="0"/>
              <w:left w:val="nil"/>
              <w:bottom w:val="single" w:color="000000" w:sz="8" w:space="0"/>
              <w:right w:val="single" w:color="000000" w:sz="8" w:space="0"/>
            </w:tcBorders>
            <w:shd w:val="clear" w:color="auto" w:fill="auto"/>
            <w:vAlign w:val="center"/>
          </w:tcPr>
          <w:p w14:paraId="503F988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b w:val="0"/>
                <w:bCs/>
                <w:color w:val="auto"/>
                <w:kern w:val="2"/>
                <w:sz w:val="21"/>
                <w:szCs w:val="21"/>
                <w:highlight w:val="none"/>
                <w:lang w:val="en-US" w:eastAsia="zh-CN" w:bidi="ar-SA"/>
              </w:rPr>
              <w:t>社区</w:t>
            </w:r>
          </w:p>
        </w:tc>
        <w:tc>
          <w:tcPr>
            <w:tcW w:w="882" w:type="dxa"/>
            <w:tcBorders>
              <w:top w:val="single" w:color="000000" w:sz="8" w:space="0"/>
              <w:left w:val="nil"/>
              <w:bottom w:val="single" w:color="000000" w:sz="8" w:space="0"/>
              <w:right w:val="single" w:color="000000" w:sz="8" w:space="0"/>
            </w:tcBorders>
            <w:shd w:val="clear" w:color="auto" w:fill="auto"/>
            <w:vAlign w:val="center"/>
          </w:tcPr>
          <w:p w14:paraId="2BC89D1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2026</w:t>
            </w:r>
            <w:r>
              <w:rPr>
                <w:rFonts w:hint="eastAsia" w:ascii="仿宋_GB2312" w:hAnsi="仿宋_GB2312" w:eastAsia="仿宋_GB2312" w:cs="仿宋_GB2312"/>
                <w:i w:val="0"/>
                <w:iCs w:val="0"/>
                <w:color w:val="auto"/>
                <w:kern w:val="0"/>
                <w:sz w:val="21"/>
                <w:szCs w:val="21"/>
                <w:u w:val="none"/>
                <w:lang w:val="en-US" w:eastAsia="zh-CN" w:bidi="ar"/>
              </w:rPr>
              <w:t>-</w:t>
            </w:r>
          </w:p>
          <w:p w14:paraId="5DC46C7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2030</w:t>
            </w:r>
          </w:p>
        </w:tc>
        <w:tc>
          <w:tcPr>
            <w:tcW w:w="23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8D589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r>
              <w:rPr>
                <w:rStyle w:val="25"/>
                <w:rFonts w:hint="eastAsia" w:ascii="仿宋_GB2312" w:hAnsi="仿宋_GB2312" w:eastAsia="仿宋_GB2312" w:cs="仿宋_GB2312"/>
                <w:color w:val="auto"/>
                <w:sz w:val="21"/>
                <w:szCs w:val="21"/>
                <w:lang w:val="en-US" w:eastAsia="zh-CN" w:bidi="ar"/>
              </w:rPr>
              <w:t>累计帮扶特殊与困境家庭至少</w:t>
            </w:r>
            <w:r>
              <w:rPr>
                <w:rStyle w:val="25"/>
                <w:rFonts w:hint="default" w:ascii="Times New Roman" w:hAnsi="Times New Roman" w:eastAsia="仿宋_GB2312" w:cs="Times New Roman"/>
                <w:color w:val="auto"/>
                <w:sz w:val="21"/>
                <w:szCs w:val="21"/>
                <w:lang w:val="en-US" w:eastAsia="zh-CN" w:bidi="ar"/>
              </w:rPr>
              <w:t>50</w:t>
            </w:r>
            <w:r>
              <w:rPr>
                <w:rStyle w:val="25"/>
                <w:rFonts w:hint="eastAsia" w:ascii="仿宋_GB2312" w:hAnsi="仿宋_GB2312" w:eastAsia="仿宋_GB2312" w:cs="仿宋_GB2312"/>
                <w:color w:val="auto"/>
                <w:sz w:val="21"/>
                <w:szCs w:val="21"/>
                <w:lang w:val="en-US" w:eastAsia="zh-CN" w:bidi="ar"/>
              </w:rPr>
              <w:t>户，</w:t>
            </w:r>
            <w:r>
              <w:rPr>
                <w:rStyle w:val="24"/>
                <w:rFonts w:hint="eastAsia" w:ascii="仿宋_GB2312" w:hAnsi="仿宋_GB2312" w:eastAsia="仿宋_GB2312" w:cs="仿宋_GB2312"/>
                <w:color w:val="auto"/>
                <w:sz w:val="21"/>
                <w:szCs w:val="21"/>
                <w:lang w:val="en-US" w:eastAsia="zh-CN" w:bidi="ar"/>
              </w:rPr>
              <w:t>开展专项心理疏导及关心关爱</w:t>
            </w:r>
            <w:r>
              <w:rPr>
                <w:rStyle w:val="23"/>
                <w:rFonts w:hint="default" w:ascii="Times New Roman" w:hAnsi="Times New Roman" w:eastAsia="仿宋_GB2312" w:cs="Times New Roman"/>
                <w:color w:val="auto"/>
                <w:sz w:val="21"/>
                <w:szCs w:val="21"/>
                <w:lang w:val="en-US" w:eastAsia="zh-CN" w:bidi="ar"/>
              </w:rPr>
              <w:t>50</w:t>
            </w:r>
            <w:r>
              <w:rPr>
                <w:rStyle w:val="23"/>
                <w:rFonts w:hint="eastAsia" w:ascii="Times New Roman" w:hAnsi="Times New Roman" w:eastAsia="仿宋_GB2312" w:cs="Times New Roman"/>
                <w:color w:val="auto"/>
                <w:sz w:val="21"/>
                <w:szCs w:val="21"/>
                <w:lang w:val="en-US" w:eastAsia="zh-CN" w:bidi="ar"/>
              </w:rPr>
              <w:t>0</w:t>
            </w:r>
            <w:r>
              <w:rPr>
                <w:rStyle w:val="24"/>
                <w:rFonts w:hint="eastAsia" w:ascii="仿宋_GB2312" w:hAnsi="仿宋_GB2312" w:eastAsia="仿宋_GB2312" w:cs="仿宋_GB2312"/>
                <w:color w:val="auto"/>
                <w:sz w:val="21"/>
                <w:szCs w:val="21"/>
                <w:lang w:val="en-US" w:eastAsia="zh-CN" w:bidi="ar"/>
              </w:rPr>
              <w:t>次</w:t>
            </w:r>
          </w:p>
        </w:tc>
        <w:tc>
          <w:tcPr>
            <w:tcW w:w="2234" w:type="dxa"/>
            <w:tcBorders>
              <w:top w:val="single" w:color="000000" w:sz="8" w:space="0"/>
              <w:left w:val="nil"/>
              <w:bottom w:val="single" w:color="000000" w:sz="8" w:space="0"/>
              <w:right w:val="single" w:color="000000" w:sz="8" w:space="0"/>
            </w:tcBorders>
            <w:shd w:val="clear" w:color="auto" w:fill="auto"/>
            <w:vAlign w:val="center"/>
          </w:tcPr>
          <w:p w14:paraId="4BBAFF8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rPr>
            </w:pPr>
            <w:r>
              <w:rPr>
                <w:rFonts w:hint="eastAsia" w:ascii="仿宋_GB2312" w:hAnsi="仿宋_GB2312" w:eastAsia="仿宋_GB2312" w:cs="仿宋_GB2312"/>
                <w:i w:val="0"/>
                <w:iCs w:val="0"/>
                <w:color w:val="auto"/>
                <w:kern w:val="0"/>
                <w:sz w:val="21"/>
                <w:szCs w:val="21"/>
                <w:u w:val="none"/>
                <w:lang w:val="en-US" w:eastAsia="zh-CN" w:bidi="ar"/>
              </w:rPr>
              <w:t>保障特殊与困境家庭儿童成长权益，提升家长家庭教育能力</w:t>
            </w:r>
          </w:p>
        </w:tc>
        <w:tc>
          <w:tcPr>
            <w:tcW w:w="1216" w:type="dxa"/>
            <w:tcBorders>
              <w:top w:val="single" w:color="000000" w:sz="8" w:space="0"/>
              <w:left w:val="nil"/>
              <w:bottom w:val="single" w:color="000000" w:sz="8" w:space="0"/>
              <w:right w:val="single" w:color="000000" w:sz="8" w:space="0"/>
            </w:tcBorders>
            <w:shd w:val="clear" w:color="auto" w:fill="auto"/>
            <w:vAlign w:val="center"/>
          </w:tcPr>
          <w:p w14:paraId="32CD220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lang w:val="en-US" w:eastAsia="zh-CN"/>
              </w:rPr>
            </w:pPr>
            <w:r>
              <w:rPr>
                <w:rFonts w:hint="default" w:ascii="Times New Roman" w:hAnsi="Times New Roman" w:eastAsia="仿宋_GB2312" w:cs="Times New Roman"/>
                <w:i w:val="0"/>
                <w:iCs w:val="0"/>
                <w:color w:val="auto"/>
                <w:sz w:val="21"/>
                <w:szCs w:val="21"/>
                <w:u w:val="none"/>
                <w:lang w:val="en-US" w:eastAsia="zh-CN"/>
              </w:rPr>
              <w:t>50</w:t>
            </w:r>
          </w:p>
        </w:tc>
        <w:tc>
          <w:tcPr>
            <w:tcW w:w="1061" w:type="dxa"/>
            <w:tcBorders>
              <w:top w:val="single" w:color="000000" w:sz="8" w:space="0"/>
              <w:left w:val="nil"/>
              <w:bottom w:val="single" w:color="000000" w:sz="8" w:space="0"/>
              <w:right w:val="single" w:color="000000" w:sz="8" w:space="0"/>
            </w:tcBorders>
            <w:shd w:val="clear" w:color="auto" w:fill="auto"/>
            <w:vAlign w:val="center"/>
          </w:tcPr>
          <w:p w14:paraId="498CC1D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sz w:val="21"/>
                <w:szCs w:val="21"/>
                <w:u w:val="none"/>
                <w:lang w:val="en-US" w:eastAsia="zh-CN"/>
              </w:rPr>
            </w:pPr>
            <w:r>
              <w:rPr>
                <w:rFonts w:hint="default" w:ascii="Times New Roman" w:hAnsi="Times New Roman" w:eastAsia="仿宋_GB2312" w:cs="Times New Roman"/>
                <w:i w:val="0"/>
                <w:iCs w:val="0"/>
                <w:color w:val="auto"/>
                <w:sz w:val="21"/>
                <w:szCs w:val="21"/>
                <w:u w:val="none"/>
                <w:lang w:val="en-US" w:eastAsia="zh-CN"/>
              </w:rPr>
              <w:t>10</w:t>
            </w:r>
          </w:p>
        </w:tc>
        <w:tc>
          <w:tcPr>
            <w:tcW w:w="639" w:type="dxa"/>
            <w:tcBorders>
              <w:top w:val="nil"/>
              <w:left w:val="nil"/>
              <w:bottom w:val="single" w:color="000000" w:sz="8" w:space="0"/>
              <w:right w:val="single" w:color="000000" w:sz="8" w:space="0"/>
            </w:tcBorders>
            <w:shd w:val="clear" w:color="auto" w:fill="auto"/>
            <w:vAlign w:val="center"/>
          </w:tcPr>
          <w:p w14:paraId="0E246650">
            <w:pPr>
              <w:keepNext w:val="0"/>
              <w:keepLines w:val="0"/>
              <w:widowControl/>
              <w:suppressLineNumbers w:val="0"/>
              <w:snapToGrid w:val="0"/>
              <w:ind w:left="0" w:leftChars="0" w:right="0" w:rightChars="0" w:firstLine="0" w:firstLineChars="0"/>
              <w:jc w:val="both"/>
              <w:textAlignment w:val="center"/>
              <w:rPr>
                <w:rFonts w:hint="eastAsia" w:ascii="仿宋_GB2312" w:hAnsi="仿宋_GB2312" w:eastAsia="仿宋_GB2312" w:cs="仿宋_GB2312"/>
                <w:i w:val="0"/>
                <w:iCs w:val="0"/>
                <w:color w:val="auto"/>
                <w:sz w:val="21"/>
                <w:szCs w:val="21"/>
                <w:u w:val="none"/>
              </w:rPr>
            </w:pPr>
          </w:p>
        </w:tc>
      </w:tr>
      <w:tr w14:paraId="0EBE4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1565" w:hRule="atLeast"/>
          <w:jc w:val="center"/>
        </w:trPr>
        <w:tc>
          <w:tcPr>
            <w:tcW w:w="86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C68A3EE">
            <w:pPr>
              <w:snapToGrid w:val="0"/>
              <w:ind w:left="0" w:leftChars="0" w:right="0" w:rightChars="0" w:firstLine="0" w:firstLineChars="0"/>
              <w:jc w:val="center"/>
              <w:rPr>
                <w:rFonts w:hint="eastAsia" w:ascii="仿宋_GB2312" w:hAnsi="仿宋_GB2312" w:eastAsia="仿宋_GB2312" w:cs="仿宋_GB2312"/>
                <w:i w:val="0"/>
                <w:iCs w:val="0"/>
                <w:color w:val="auto"/>
                <w:sz w:val="21"/>
                <w:szCs w:val="21"/>
                <w:u w:val="none"/>
                <w:lang w:val="en-US" w:eastAsia="zh-CN"/>
              </w:rPr>
            </w:pPr>
            <w:r>
              <w:rPr>
                <w:rFonts w:hint="eastAsia" w:ascii="仿宋_GB2312" w:hAnsi="仿宋_GB2312" w:eastAsia="仿宋_GB2312" w:cs="仿宋_GB2312"/>
                <w:i w:val="0"/>
                <w:iCs w:val="0"/>
                <w:color w:val="auto"/>
                <w:sz w:val="21"/>
                <w:szCs w:val="21"/>
                <w:u w:val="none"/>
                <w:lang w:val="en-US" w:eastAsia="zh-CN"/>
              </w:rPr>
              <w:t>数字</w:t>
            </w:r>
          </w:p>
          <w:p w14:paraId="2434CE10">
            <w:pPr>
              <w:snapToGrid w:val="0"/>
              <w:ind w:left="0" w:leftChars="0" w:right="0" w:rightChars="0" w:firstLine="0" w:firstLineChars="0"/>
              <w:jc w:val="center"/>
              <w:rPr>
                <w:rFonts w:hint="eastAsia" w:ascii="仿宋_GB2312" w:hAnsi="仿宋_GB2312" w:eastAsia="仿宋_GB2312" w:cs="仿宋_GB2312"/>
                <w:i w:val="0"/>
                <w:iCs w:val="0"/>
                <w:color w:val="auto"/>
                <w:sz w:val="21"/>
                <w:szCs w:val="21"/>
                <w:u w:val="none"/>
                <w:lang w:val="en-US" w:eastAsia="zh-CN"/>
              </w:rPr>
            </w:pPr>
            <w:r>
              <w:rPr>
                <w:rFonts w:hint="eastAsia" w:ascii="仿宋_GB2312" w:hAnsi="仿宋_GB2312" w:eastAsia="仿宋_GB2312" w:cs="仿宋_GB2312"/>
                <w:i w:val="0"/>
                <w:iCs w:val="0"/>
                <w:color w:val="auto"/>
                <w:sz w:val="21"/>
                <w:szCs w:val="21"/>
                <w:u w:val="none"/>
                <w:lang w:val="en-US" w:eastAsia="zh-CN"/>
              </w:rPr>
              <w:t>平台</w:t>
            </w:r>
          </w:p>
        </w:tc>
        <w:tc>
          <w:tcPr>
            <w:tcW w:w="1074" w:type="dxa"/>
            <w:tcBorders>
              <w:top w:val="single" w:color="000000" w:sz="8" w:space="0"/>
              <w:left w:val="nil"/>
              <w:bottom w:val="single" w:color="000000" w:sz="8" w:space="0"/>
              <w:right w:val="single" w:color="000000" w:sz="8" w:space="0"/>
            </w:tcBorders>
            <w:shd w:val="clear" w:color="auto" w:fill="auto"/>
            <w:vAlign w:val="center"/>
          </w:tcPr>
          <w:p w14:paraId="053560D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sz w:val="18"/>
                <w:szCs w:val="18"/>
                <w:highlight w:val="none"/>
                <w:lang w:val="en-US" w:eastAsia="zh-CN"/>
              </w:rPr>
            </w:pPr>
            <w:r>
              <w:rPr>
                <w:rFonts w:hint="eastAsia" w:ascii="仿宋_GB2312" w:hAnsi="仿宋_GB2312" w:eastAsia="仿宋_GB2312" w:cs="仿宋_GB2312"/>
                <w:b w:val="0"/>
                <w:bCs/>
                <w:color w:val="auto"/>
                <w:sz w:val="21"/>
                <w:szCs w:val="21"/>
                <w:highlight w:val="none"/>
                <w:lang w:val="en-US" w:eastAsia="zh-CN"/>
              </w:rPr>
              <w:t>家教数字平台建设项目</w:t>
            </w:r>
          </w:p>
        </w:tc>
        <w:tc>
          <w:tcPr>
            <w:tcW w:w="475" w:type="dxa"/>
            <w:tcBorders>
              <w:top w:val="single" w:color="000000" w:sz="8" w:space="0"/>
              <w:left w:val="nil"/>
              <w:bottom w:val="single" w:color="000000" w:sz="8" w:space="0"/>
              <w:right w:val="single" w:color="000000" w:sz="8" w:space="0"/>
            </w:tcBorders>
            <w:shd w:val="clear" w:color="auto" w:fill="auto"/>
            <w:vAlign w:val="center"/>
          </w:tcPr>
          <w:p w14:paraId="5C616FA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固投</w:t>
            </w:r>
          </w:p>
        </w:tc>
        <w:tc>
          <w:tcPr>
            <w:tcW w:w="1510" w:type="dxa"/>
            <w:tcBorders>
              <w:top w:val="single" w:color="000000" w:sz="8" w:space="0"/>
              <w:left w:val="nil"/>
              <w:bottom w:val="single" w:color="000000" w:sz="8" w:space="0"/>
              <w:right w:val="single" w:color="000000" w:sz="8" w:space="0"/>
            </w:tcBorders>
            <w:shd w:val="clear" w:color="auto" w:fill="auto"/>
            <w:vAlign w:val="center"/>
          </w:tcPr>
          <w:p w14:paraId="084C75A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师市</w:t>
            </w:r>
          </w:p>
          <w:p w14:paraId="51FC678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妇联</w:t>
            </w:r>
          </w:p>
        </w:tc>
        <w:tc>
          <w:tcPr>
            <w:tcW w:w="2474" w:type="dxa"/>
            <w:tcBorders>
              <w:top w:val="single" w:color="000000" w:sz="8" w:space="0"/>
              <w:left w:val="nil"/>
              <w:bottom w:val="single" w:color="000000" w:sz="8" w:space="0"/>
              <w:right w:val="single" w:color="000000" w:sz="8" w:space="0"/>
            </w:tcBorders>
            <w:shd w:val="clear" w:color="auto" w:fill="auto"/>
            <w:vAlign w:val="center"/>
          </w:tcPr>
          <w:p w14:paraId="513E5DCE">
            <w:pPr>
              <w:keepNext w:val="0"/>
              <w:keepLines w:val="0"/>
              <w:widowControl/>
              <w:suppressLineNumbers w:val="0"/>
              <w:snapToGrid w:val="0"/>
              <w:ind w:left="0" w:leftChars="0" w:right="0" w:rightChars="0" w:firstLine="0" w:firstLineChars="0"/>
              <w:jc w:val="both"/>
              <w:textAlignment w:val="center"/>
              <w:rPr>
                <w:rStyle w:val="24"/>
                <w:rFonts w:hint="eastAsia" w:ascii="仿宋_GB2312" w:hAnsi="仿宋_GB2312" w:eastAsia="仿宋_GB2312" w:cs="仿宋_GB2312"/>
                <w:color w:val="auto"/>
                <w:sz w:val="21"/>
                <w:szCs w:val="21"/>
                <w:lang w:val="en-US" w:eastAsia="zh-CN" w:bidi="ar"/>
              </w:rPr>
            </w:pPr>
            <w:r>
              <w:rPr>
                <w:rFonts w:hint="eastAsia" w:ascii="仿宋_GB2312" w:hAnsi="仿宋_GB2312" w:eastAsia="仿宋_GB2312" w:cs="仿宋_GB2312"/>
                <w:b w:val="0"/>
                <w:bCs/>
                <w:color w:val="auto"/>
                <w:kern w:val="2"/>
                <w:sz w:val="21"/>
                <w:szCs w:val="21"/>
                <w:highlight w:val="none"/>
                <w:lang w:val="en-US" w:eastAsia="zh-CN" w:bidi="ar-SA"/>
              </w:rPr>
              <w:t>建设学生心理健康测评系统、智能化工作流程管理、数据统计分析三大功能，与教育局、卫健委测评及数据共享使用，协同联动。</w:t>
            </w:r>
          </w:p>
        </w:tc>
        <w:tc>
          <w:tcPr>
            <w:tcW w:w="950" w:type="dxa"/>
            <w:tcBorders>
              <w:top w:val="single" w:color="000000" w:sz="8" w:space="0"/>
              <w:left w:val="nil"/>
              <w:bottom w:val="single" w:color="000000" w:sz="8" w:space="0"/>
              <w:right w:val="single" w:color="000000" w:sz="8" w:space="0"/>
            </w:tcBorders>
            <w:shd w:val="clear" w:color="auto" w:fill="auto"/>
            <w:vAlign w:val="center"/>
          </w:tcPr>
          <w:p w14:paraId="37A67D5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val="0"/>
                <w:bCs/>
                <w:color w:val="auto"/>
                <w:kern w:val="2"/>
                <w:sz w:val="21"/>
                <w:szCs w:val="21"/>
                <w:highlight w:val="none"/>
                <w:lang w:val="en-US" w:eastAsia="zh-CN" w:bidi="ar-SA"/>
              </w:rPr>
            </w:pPr>
            <w:r>
              <w:rPr>
                <w:rFonts w:hint="eastAsia" w:ascii="仿宋_GB2312" w:hAnsi="仿宋_GB2312" w:eastAsia="仿宋_GB2312" w:cs="仿宋_GB2312"/>
                <w:b w:val="0"/>
                <w:bCs/>
                <w:color w:val="auto"/>
                <w:kern w:val="2"/>
                <w:sz w:val="21"/>
                <w:szCs w:val="21"/>
                <w:highlight w:val="none"/>
                <w:lang w:val="en-US" w:eastAsia="zh-CN" w:bidi="ar-SA"/>
              </w:rPr>
              <w:t>新星市</w:t>
            </w:r>
          </w:p>
        </w:tc>
        <w:tc>
          <w:tcPr>
            <w:tcW w:w="882" w:type="dxa"/>
            <w:tcBorders>
              <w:top w:val="single" w:color="000000" w:sz="8" w:space="0"/>
              <w:left w:val="nil"/>
              <w:bottom w:val="single" w:color="000000" w:sz="8" w:space="0"/>
              <w:right w:val="single" w:color="000000" w:sz="8" w:space="0"/>
            </w:tcBorders>
            <w:shd w:val="clear" w:color="auto" w:fill="auto"/>
            <w:vAlign w:val="center"/>
          </w:tcPr>
          <w:p w14:paraId="363D151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2026</w:t>
            </w:r>
            <w:r>
              <w:rPr>
                <w:rFonts w:hint="eastAsia" w:ascii="仿宋_GB2312" w:hAnsi="仿宋_GB2312" w:eastAsia="仿宋_GB2312" w:cs="仿宋_GB2312"/>
                <w:i w:val="0"/>
                <w:iCs w:val="0"/>
                <w:color w:val="auto"/>
                <w:kern w:val="0"/>
                <w:sz w:val="21"/>
                <w:szCs w:val="21"/>
                <w:u w:val="none"/>
                <w:lang w:val="en-US" w:eastAsia="zh-CN" w:bidi="ar"/>
              </w:rPr>
              <w:t>-</w:t>
            </w:r>
          </w:p>
          <w:p w14:paraId="4E30813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2027</w:t>
            </w:r>
          </w:p>
        </w:tc>
        <w:tc>
          <w:tcPr>
            <w:tcW w:w="23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9976861">
            <w:pPr>
              <w:keepNext w:val="0"/>
              <w:keepLines w:val="0"/>
              <w:widowControl/>
              <w:suppressLineNumbers w:val="0"/>
              <w:snapToGrid w:val="0"/>
              <w:ind w:left="0" w:leftChars="0" w:right="0" w:rightChars="0" w:firstLine="0" w:firstLineChars="0"/>
              <w:jc w:val="both"/>
              <w:textAlignment w:val="center"/>
              <w:rPr>
                <w:rStyle w:val="25"/>
                <w:rFonts w:hint="eastAsia" w:ascii="仿宋_GB2312" w:hAnsi="仿宋_GB2312" w:eastAsia="仿宋_GB2312" w:cs="仿宋_GB2312"/>
                <w:color w:val="auto"/>
                <w:sz w:val="21"/>
                <w:szCs w:val="21"/>
                <w:lang w:val="en-US" w:eastAsia="zh-CN" w:bidi="ar"/>
              </w:rPr>
            </w:pPr>
            <w:r>
              <w:rPr>
                <w:rStyle w:val="25"/>
                <w:rFonts w:hint="eastAsia" w:ascii="仿宋_GB2312" w:hAnsi="仿宋_GB2312" w:eastAsia="仿宋_GB2312" w:cs="仿宋_GB2312"/>
                <w:color w:val="auto"/>
                <w:sz w:val="21"/>
                <w:szCs w:val="21"/>
                <w:lang w:val="en-US" w:eastAsia="zh-CN" w:bidi="ar"/>
              </w:rPr>
              <w:t>年测评服务≥</w:t>
            </w:r>
            <w:r>
              <w:rPr>
                <w:rStyle w:val="25"/>
                <w:rFonts w:hint="default" w:ascii="Times New Roman" w:hAnsi="Times New Roman" w:eastAsia="仿宋_GB2312" w:cs="Times New Roman"/>
                <w:color w:val="auto"/>
                <w:sz w:val="21"/>
                <w:szCs w:val="21"/>
                <w:lang w:val="en-US" w:eastAsia="zh-CN" w:bidi="ar"/>
              </w:rPr>
              <w:t>1000</w:t>
            </w:r>
            <w:r>
              <w:rPr>
                <w:rStyle w:val="25"/>
                <w:rFonts w:hint="eastAsia" w:ascii="仿宋_GB2312" w:hAnsi="仿宋_GB2312" w:eastAsia="仿宋_GB2312" w:cs="仿宋_GB2312"/>
                <w:color w:val="auto"/>
                <w:sz w:val="21"/>
                <w:szCs w:val="21"/>
                <w:lang w:val="en-US" w:eastAsia="zh-CN" w:bidi="ar"/>
              </w:rPr>
              <w:t>人次，视频资源存储≥</w:t>
            </w:r>
            <w:r>
              <w:rPr>
                <w:rStyle w:val="23"/>
                <w:rFonts w:hint="default" w:ascii="Times New Roman" w:hAnsi="Times New Roman" w:eastAsia="仿宋_GB2312" w:cs="Times New Roman"/>
                <w:color w:val="auto"/>
                <w:sz w:val="21"/>
                <w:szCs w:val="21"/>
                <w:lang w:val="en-US" w:eastAsia="zh-CN" w:bidi="ar"/>
              </w:rPr>
              <w:t>10</w:t>
            </w:r>
            <w:r>
              <w:rPr>
                <w:rStyle w:val="23"/>
                <w:rFonts w:hint="eastAsia" w:ascii="Times New Roman" w:hAnsi="Times New Roman" w:eastAsia="仿宋_GB2312" w:cs="Times New Roman"/>
                <w:color w:val="auto"/>
                <w:sz w:val="21"/>
                <w:szCs w:val="21"/>
                <w:lang w:val="en-US" w:eastAsia="zh-CN" w:bidi="ar"/>
              </w:rPr>
              <w:t>0</w:t>
            </w:r>
            <w:r>
              <w:rPr>
                <w:rStyle w:val="25"/>
                <w:rFonts w:hint="eastAsia" w:ascii="仿宋_GB2312" w:hAnsi="仿宋_GB2312" w:eastAsia="仿宋_GB2312" w:cs="仿宋_GB2312"/>
                <w:color w:val="auto"/>
                <w:sz w:val="21"/>
                <w:szCs w:val="21"/>
                <w:lang w:val="en-US" w:eastAsia="zh-CN" w:bidi="ar"/>
              </w:rPr>
              <w:t>条，心理健康问题筛查响应时间缩短</w:t>
            </w:r>
            <w:r>
              <w:rPr>
                <w:rStyle w:val="25"/>
                <w:rFonts w:hint="default" w:ascii="Times New Roman" w:hAnsi="Times New Roman" w:eastAsia="仿宋_GB2312" w:cs="Times New Roman"/>
                <w:color w:val="auto"/>
                <w:sz w:val="21"/>
                <w:szCs w:val="21"/>
                <w:lang w:val="en-US" w:eastAsia="zh-CN" w:bidi="ar"/>
              </w:rPr>
              <w:t>50</w:t>
            </w:r>
            <w:r>
              <w:rPr>
                <w:rStyle w:val="25"/>
                <w:rFonts w:hint="eastAsia" w:ascii="仿宋_GB2312" w:hAnsi="仿宋_GB2312" w:eastAsia="仿宋_GB2312" w:cs="仿宋_GB2312"/>
                <w:color w:val="auto"/>
                <w:sz w:val="21"/>
                <w:szCs w:val="21"/>
                <w:lang w:val="en-US" w:eastAsia="zh-CN" w:bidi="ar"/>
              </w:rPr>
              <w:t>%</w:t>
            </w:r>
          </w:p>
          <w:p w14:paraId="55B10BD6">
            <w:pPr>
              <w:keepNext w:val="0"/>
              <w:keepLines w:val="0"/>
              <w:widowControl/>
              <w:suppressLineNumbers w:val="0"/>
              <w:snapToGrid w:val="0"/>
              <w:ind w:left="0" w:leftChars="0" w:right="0" w:rightChars="0" w:firstLine="0" w:firstLineChars="0"/>
              <w:jc w:val="center"/>
              <w:textAlignment w:val="center"/>
              <w:rPr>
                <w:rStyle w:val="25"/>
                <w:rFonts w:hint="eastAsia" w:ascii="仿宋_GB2312" w:hAnsi="仿宋_GB2312" w:eastAsia="仿宋_GB2312" w:cs="仿宋_GB2312"/>
                <w:color w:val="auto"/>
                <w:sz w:val="21"/>
                <w:szCs w:val="21"/>
                <w:lang w:val="en-US" w:eastAsia="zh-CN" w:bidi="ar"/>
              </w:rPr>
            </w:pPr>
          </w:p>
        </w:tc>
        <w:tc>
          <w:tcPr>
            <w:tcW w:w="2234" w:type="dxa"/>
            <w:tcBorders>
              <w:top w:val="single" w:color="000000" w:sz="8" w:space="0"/>
              <w:left w:val="nil"/>
              <w:bottom w:val="single" w:color="000000" w:sz="8" w:space="0"/>
              <w:right w:val="single" w:color="000000" w:sz="8" w:space="0"/>
            </w:tcBorders>
            <w:shd w:val="clear" w:color="auto" w:fill="auto"/>
            <w:vAlign w:val="center"/>
          </w:tcPr>
          <w:p w14:paraId="4428549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实现身心监测、智能管理与数据分析，扩大家教与心理服务覆盖</w:t>
            </w:r>
          </w:p>
        </w:tc>
        <w:tc>
          <w:tcPr>
            <w:tcW w:w="1216" w:type="dxa"/>
            <w:tcBorders>
              <w:top w:val="single" w:color="000000" w:sz="8" w:space="0"/>
              <w:left w:val="nil"/>
              <w:bottom w:val="single" w:color="000000" w:sz="8" w:space="0"/>
              <w:right w:val="single" w:color="000000" w:sz="8" w:space="0"/>
            </w:tcBorders>
            <w:shd w:val="clear" w:color="auto" w:fill="auto"/>
            <w:vAlign w:val="center"/>
          </w:tcPr>
          <w:p w14:paraId="14CD376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20</w:t>
            </w:r>
          </w:p>
        </w:tc>
        <w:tc>
          <w:tcPr>
            <w:tcW w:w="1061" w:type="dxa"/>
            <w:tcBorders>
              <w:top w:val="single" w:color="000000" w:sz="8" w:space="0"/>
              <w:left w:val="nil"/>
              <w:bottom w:val="single" w:color="000000" w:sz="8" w:space="0"/>
              <w:right w:val="single" w:color="000000" w:sz="8" w:space="0"/>
            </w:tcBorders>
            <w:shd w:val="clear" w:color="auto" w:fill="auto"/>
            <w:vAlign w:val="center"/>
          </w:tcPr>
          <w:p w14:paraId="08E9BB74">
            <w:pPr>
              <w:keepNext w:val="0"/>
              <w:keepLines w:val="0"/>
              <w:widowControl/>
              <w:suppressLineNumbers w:val="0"/>
              <w:snapToGrid w:val="0"/>
              <w:ind w:left="0" w:leftChars="0" w:right="0" w:rightChars="0" w:firstLine="0" w:firstLineChars="0"/>
              <w:jc w:val="center"/>
              <w:textAlignment w:val="center"/>
              <w:rPr>
                <w:rFonts w:hint="default"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4</w:t>
            </w:r>
          </w:p>
        </w:tc>
        <w:tc>
          <w:tcPr>
            <w:tcW w:w="639" w:type="dxa"/>
            <w:tcBorders>
              <w:top w:val="nil"/>
              <w:left w:val="nil"/>
              <w:bottom w:val="single" w:color="000000" w:sz="8" w:space="0"/>
              <w:right w:val="single" w:color="000000" w:sz="8" w:space="0"/>
            </w:tcBorders>
            <w:shd w:val="clear" w:color="auto" w:fill="auto"/>
            <w:vAlign w:val="center"/>
          </w:tcPr>
          <w:p w14:paraId="7E32F7F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p>
        </w:tc>
      </w:tr>
      <w:tr w14:paraId="2AF7D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59" w:hRule="atLeast"/>
          <w:jc w:val="center"/>
        </w:trPr>
        <w:tc>
          <w:tcPr>
            <w:tcW w:w="12802" w:type="dxa"/>
            <w:gridSpan w:val="9"/>
            <w:tcBorders>
              <w:top w:val="nil"/>
              <w:left w:val="single" w:color="000000" w:sz="8" w:space="0"/>
              <w:bottom w:val="single" w:color="000000" w:sz="8" w:space="0"/>
              <w:right w:val="single" w:color="000000" w:sz="8" w:space="0"/>
            </w:tcBorders>
            <w:shd w:val="clear" w:color="auto" w:fill="auto"/>
            <w:vAlign w:val="center"/>
          </w:tcPr>
          <w:p w14:paraId="0DEC07F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i w:val="0"/>
                <w:iCs w:val="0"/>
                <w:color w:val="auto"/>
                <w:sz w:val="28"/>
                <w:szCs w:val="28"/>
                <w:u w:val="none"/>
              </w:rPr>
            </w:pPr>
            <w:r>
              <w:rPr>
                <w:rFonts w:hint="eastAsia" w:ascii="仿宋_GB2312" w:hAnsi="仿宋_GB2312" w:eastAsia="仿宋_GB2312" w:cs="仿宋_GB2312"/>
                <w:b/>
                <w:i w:val="0"/>
                <w:iCs w:val="0"/>
                <w:color w:val="auto"/>
                <w:kern w:val="0"/>
                <w:sz w:val="28"/>
                <w:szCs w:val="28"/>
                <w:u w:val="none"/>
                <w:lang w:val="en-US" w:eastAsia="zh-CN" w:bidi="ar"/>
              </w:rPr>
              <w:t>合计</w:t>
            </w:r>
          </w:p>
        </w:tc>
        <w:tc>
          <w:tcPr>
            <w:tcW w:w="1216" w:type="dxa"/>
            <w:tcBorders>
              <w:top w:val="nil"/>
              <w:left w:val="nil"/>
              <w:bottom w:val="single" w:color="000000" w:sz="8" w:space="0"/>
              <w:right w:val="single" w:color="000000" w:sz="8" w:space="0"/>
            </w:tcBorders>
            <w:shd w:val="clear" w:color="auto" w:fill="auto"/>
            <w:vAlign w:val="center"/>
          </w:tcPr>
          <w:p w14:paraId="6DBFB6C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i w:val="0"/>
                <w:iCs w:val="0"/>
                <w:color w:val="auto"/>
                <w:sz w:val="28"/>
                <w:szCs w:val="28"/>
                <w:u w:val="none"/>
                <w:lang w:val="en-US" w:eastAsia="zh-CN"/>
              </w:rPr>
            </w:pPr>
            <w:r>
              <w:rPr>
                <w:rFonts w:hint="default" w:ascii="Times New Roman" w:hAnsi="Times New Roman" w:eastAsia="仿宋_GB2312" w:cs="Times New Roman"/>
                <w:b/>
                <w:i w:val="0"/>
                <w:iCs w:val="0"/>
                <w:color w:val="auto"/>
                <w:sz w:val="28"/>
                <w:szCs w:val="28"/>
                <w:u w:val="none"/>
                <w:lang w:val="en-US" w:eastAsia="zh-CN"/>
              </w:rPr>
              <w:t>42</w:t>
            </w:r>
            <w:r>
              <w:rPr>
                <w:rFonts w:hint="eastAsia" w:ascii="仿宋_GB2312" w:hAnsi="仿宋_GB2312" w:eastAsia="仿宋_GB2312" w:cs="仿宋_GB2312"/>
                <w:b/>
                <w:i w:val="0"/>
                <w:iCs w:val="0"/>
                <w:color w:val="auto"/>
                <w:sz w:val="28"/>
                <w:szCs w:val="28"/>
                <w:u w:val="none"/>
                <w:lang w:val="en-US" w:eastAsia="zh-CN"/>
              </w:rPr>
              <w:t>0</w:t>
            </w:r>
          </w:p>
        </w:tc>
        <w:tc>
          <w:tcPr>
            <w:tcW w:w="1061" w:type="dxa"/>
            <w:tcBorders>
              <w:top w:val="nil"/>
              <w:left w:val="nil"/>
              <w:bottom w:val="single" w:color="000000" w:sz="8" w:space="0"/>
              <w:right w:val="single" w:color="000000" w:sz="8" w:space="0"/>
            </w:tcBorders>
            <w:shd w:val="clear" w:color="auto" w:fill="auto"/>
            <w:vAlign w:val="center"/>
          </w:tcPr>
          <w:p w14:paraId="01EA53E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i w:val="0"/>
                <w:iCs w:val="0"/>
                <w:color w:val="auto"/>
                <w:sz w:val="28"/>
                <w:szCs w:val="28"/>
                <w:u w:val="none"/>
                <w:lang w:val="en-US"/>
              </w:rPr>
            </w:pPr>
            <w:r>
              <w:rPr>
                <w:rFonts w:hint="default" w:ascii="Times New Roman" w:hAnsi="Times New Roman" w:eastAsia="仿宋_GB2312" w:cs="Times New Roman"/>
                <w:b/>
                <w:i w:val="0"/>
                <w:iCs w:val="0"/>
                <w:color w:val="auto"/>
                <w:kern w:val="0"/>
                <w:sz w:val="28"/>
                <w:szCs w:val="28"/>
                <w:u w:val="none"/>
                <w:lang w:val="en-US" w:eastAsia="zh-CN" w:bidi="ar"/>
              </w:rPr>
              <w:t>86</w:t>
            </w:r>
          </w:p>
        </w:tc>
        <w:tc>
          <w:tcPr>
            <w:tcW w:w="639" w:type="dxa"/>
            <w:tcBorders>
              <w:top w:val="nil"/>
              <w:left w:val="nil"/>
              <w:bottom w:val="single" w:color="000000" w:sz="8" w:space="0"/>
              <w:right w:val="single" w:color="000000" w:sz="8" w:space="0"/>
            </w:tcBorders>
            <w:shd w:val="clear" w:color="auto" w:fill="auto"/>
            <w:vAlign w:val="center"/>
          </w:tcPr>
          <w:p w14:paraId="6D91FA9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i w:val="0"/>
                <w:iCs w:val="0"/>
                <w:color w:val="auto"/>
                <w:sz w:val="28"/>
                <w:szCs w:val="28"/>
                <w:u w:val="none"/>
              </w:rPr>
            </w:pPr>
          </w:p>
        </w:tc>
      </w:tr>
    </w:tbl>
    <w:p w14:paraId="260501AB">
      <w:pPr>
        <w:rPr>
          <w:rFonts w:hint="eastAsia"/>
          <w:lang w:eastAsia="zh-CN"/>
        </w:rPr>
      </w:pPr>
    </w:p>
    <w:sectPr>
      <w:pgSz w:w="16838" w:h="11906" w:orient="landscape"/>
      <w:pgMar w:top="1803" w:right="816" w:bottom="1803" w:left="816" w:header="851" w:footer="992" w:gutter="0"/>
      <w:pgBorders>
        <w:top w:val="none" w:sz="0" w:space="0"/>
        <w:left w:val="none" w:sz="0" w:space="0"/>
        <w:bottom w:val="none" w:sz="0" w:space="0"/>
        <w:right w:val="none" w:sz="0" w:space="0"/>
      </w:pgBorders>
      <w:lnNumType w:countBy="0" w:distance="360"/>
      <w:pgNumType w:fmt="numberInDash"/>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A0337FB-D6CE-4028-A050-FDA772FE2EA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36E8146-1AD9-4C1E-8FBA-D63147218F87}"/>
  </w:font>
  <w:font w:name="方正小标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3" w:fontKey="{FDCAA602-7F1D-44CB-8EFF-5BC231D5758B}"/>
  </w:font>
  <w:font w:name="仿宋_GB2312">
    <w:panose1 w:val="02010609030101010101"/>
    <w:charset w:val="86"/>
    <w:family w:val="auto"/>
    <w:pitch w:val="default"/>
    <w:sig w:usb0="00000001" w:usb1="080E0000" w:usb2="00000000" w:usb3="00000000" w:csb0="00040000" w:csb1="00000000"/>
    <w:embedRegular r:id="rId4" w:fontKey="{F1771D6E-F73A-4FD2-8D31-D3A14C10B0CB}"/>
  </w:font>
  <w:font w:name="楷体_GB2312">
    <w:panose1 w:val="02010609030101010101"/>
    <w:charset w:val="86"/>
    <w:family w:val="auto"/>
    <w:pitch w:val="default"/>
    <w:sig w:usb0="00000001" w:usb1="080E0000" w:usb2="00000000" w:usb3="00000000" w:csb0="00040000" w:csb1="00000000"/>
    <w:embedRegular r:id="rId5" w:fontKey="{920D452E-F2A4-46BB-991A-AF13178A8A22}"/>
  </w:font>
  <w:font w:name="方正仿宋简体">
    <w:panose1 w:val="02010601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E2D46">
    <w:pPr>
      <w:pStyle w:val="9"/>
      <w:rPr>
        <w:rFonts w:hint="default"/>
        <w:sz w:val="18"/>
        <w:szCs w:val="24"/>
      </w:rPr>
    </w:pPr>
    <w:r>
      <w:rPr>
        <w:rFonts w:hint="default"/>
        <w:sz w:val="18"/>
        <w:szCs w:val="24"/>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E82112C">
                          <w:pPr>
                            <w:rPr>
                              <w:rFonts w:hint="eastAsia"/>
                            </w:rPr>
                          </w:pPr>
                        </w:p>
                      </w:txbxContent>
                    </wps:txbx>
                    <wps:bodyPr vert="horz" wrap="none" lIns="0" tIns="0" rIns="0" bIns="0" anchor="t"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Xn3tj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VXKoD1jRwftwB1OGFCa5Qws2fUkIG7Kr56uraohM0uZyvVqvSzJcUm1OCKd4uB4A4zvlLUtB&#10;zYGeLbspTh8wjkfnI6mbcWl1/lYbM1bTTpFojsRSFIf9MLHd++ZMKmnoCbzz8JWznp685o4mnDPz&#10;3pGjaTrmAOZgPwfCSbpY88jZMYA+dIS0zBwxvD1GopJ5psZjt4kPPVtWOo1Ymou/83zq4bfa/g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pefe2NIBAACeAwAADgAAAAAAAAABACAAAAAfAQAA&#10;ZHJzL2Uyb0RvYy54bWxQSwUGAAAAAAYABgBZAQAAYwUAAAAA&#10;">
              <v:fill on="f" focussize="0,0"/>
              <v:stroke on="f"/>
              <v:imagedata o:title=""/>
              <o:lock v:ext="edit" aspectratio="f"/>
              <v:textbox inset="0mm,0mm,0mm,0mm" style="mso-fit-shape-to-text:t;">
                <w:txbxContent>
                  <w:p w14:paraId="7E82112C">
                    <w:pPr>
                      <w:rPr>
                        <w:rFonts w:hint="eastAsia"/>
                      </w:rP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717E8">
    <w:pPr>
      <w:pStyle w:val="9"/>
      <w:rPr>
        <w:rFonts w:hint="default"/>
        <w:sz w:val="18"/>
        <w:szCs w:val="24"/>
      </w:rPr>
    </w:pPr>
    <w:r>
      <w:rPr>
        <w:rFonts w:hint="default"/>
        <w:sz w:val="18"/>
        <w:szCs w:val="24"/>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32C30E4">
                          <w:pPr>
                            <w:pStyle w:val="9"/>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wps:txbx>
                    <wps:bodyPr vert="horz" wrap="none" lIns="0" tIns="0" rIns="0" bIns="0" anchor="t" upright="1">
                      <a:spAutoFit/>
                    </wps:bodyPr>
                  </wps:wsp>
                </a:graphicData>
              </a:graphic>
            </wp:anchor>
          </w:drawing>
        </mc:Choice>
        <mc:Fallback>
          <w:pict>
            <v:rect id="文本框 2"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5dblS0AAAAAUBAAAPAAAAAAAAAAEAIAAAACIAAABkcnMvZG93&#10;bnJldi54bWxQSwECFAAUAAAACACHTuJAA+HldM8BAACbAwAADgAAAAAAAAABACAAAAAfAQAAZHJz&#10;L2Uyb0RvYy54bWxQSwUGAAAAAAYABgBZAQAAYAUAAAAA&#10;">
              <v:fill on="f" focussize="0,0"/>
              <v:stroke on="f"/>
              <v:imagedata o:title=""/>
              <o:lock v:ext="edit" aspectratio="f"/>
              <v:textbox inset="0mm,0mm,0mm,0mm" style="mso-fit-shape-to-text:t;">
                <w:txbxContent>
                  <w:p w14:paraId="432C30E4">
                    <w:pPr>
                      <w:pStyle w:val="9"/>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RkODkyZjdhYjdjZDEwNDM2M2IwODE2MWZkOGEwMGQifQ=="/>
  </w:docVars>
  <w:rsids>
    <w:rsidRoot w:val="00000000"/>
    <w:rsid w:val="000942B7"/>
    <w:rsid w:val="001D7D62"/>
    <w:rsid w:val="002B4929"/>
    <w:rsid w:val="00307A95"/>
    <w:rsid w:val="0064181E"/>
    <w:rsid w:val="00774D39"/>
    <w:rsid w:val="007A1658"/>
    <w:rsid w:val="00BA7CA7"/>
    <w:rsid w:val="00E46AD2"/>
    <w:rsid w:val="0116312F"/>
    <w:rsid w:val="012810B4"/>
    <w:rsid w:val="01325A8F"/>
    <w:rsid w:val="016B50C9"/>
    <w:rsid w:val="017E64C1"/>
    <w:rsid w:val="01925CDB"/>
    <w:rsid w:val="01F42D45"/>
    <w:rsid w:val="02104022"/>
    <w:rsid w:val="021E46F7"/>
    <w:rsid w:val="026C6D7F"/>
    <w:rsid w:val="02753E85"/>
    <w:rsid w:val="02F32FFC"/>
    <w:rsid w:val="031D0ACD"/>
    <w:rsid w:val="03217B69"/>
    <w:rsid w:val="03BE185C"/>
    <w:rsid w:val="03CA1FAF"/>
    <w:rsid w:val="03DA619A"/>
    <w:rsid w:val="03F6739B"/>
    <w:rsid w:val="04155920"/>
    <w:rsid w:val="0478172D"/>
    <w:rsid w:val="048B7990"/>
    <w:rsid w:val="04D56E5D"/>
    <w:rsid w:val="053A4F12"/>
    <w:rsid w:val="056703FD"/>
    <w:rsid w:val="05706B86"/>
    <w:rsid w:val="059705B7"/>
    <w:rsid w:val="05C56AB0"/>
    <w:rsid w:val="05DC421B"/>
    <w:rsid w:val="05EE25BC"/>
    <w:rsid w:val="05EE5FC3"/>
    <w:rsid w:val="062736E9"/>
    <w:rsid w:val="062776FF"/>
    <w:rsid w:val="063B53E6"/>
    <w:rsid w:val="071C6FC5"/>
    <w:rsid w:val="074D5F58"/>
    <w:rsid w:val="075F6EB2"/>
    <w:rsid w:val="078B7CA7"/>
    <w:rsid w:val="07A80859"/>
    <w:rsid w:val="07AC659B"/>
    <w:rsid w:val="07B45450"/>
    <w:rsid w:val="07E51AAD"/>
    <w:rsid w:val="081E4FBF"/>
    <w:rsid w:val="082D6FB0"/>
    <w:rsid w:val="084D08AE"/>
    <w:rsid w:val="087150EF"/>
    <w:rsid w:val="0935436E"/>
    <w:rsid w:val="097A7FD3"/>
    <w:rsid w:val="09972933"/>
    <w:rsid w:val="09976DD7"/>
    <w:rsid w:val="09C851E3"/>
    <w:rsid w:val="09CF031F"/>
    <w:rsid w:val="09EA678A"/>
    <w:rsid w:val="09FA45C2"/>
    <w:rsid w:val="0A053D41"/>
    <w:rsid w:val="0A1246B0"/>
    <w:rsid w:val="0A371E14"/>
    <w:rsid w:val="0A397E8E"/>
    <w:rsid w:val="0A3B59B5"/>
    <w:rsid w:val="0A410AF1"/>
    <w:rsid w:val="0A4F1460"/>
    <w:rsid w:val="0A73514E"/>
    <w:rsid w:val="0AA90B70"/>
    <w:rsid w:val="0AAB1FCF"/>
    <w:rsid w:val="0AAC18B7"/>
    <w:rsid w:val="0AC91212"/>
    <w:rsid w:val="0AE71698"/>
    <w:rsid w:val="0AF20E22"/>
    <w:rsid w:val="0B0E30C9"/>
    <w:rsid w:val="0B100BEF"/>
    <w:rsid w:val="0B3C3711"/>
    <w:rsid w:val="0B845139"/>
    <w:rsid w:val="0C057848"/>
    <w:rsid w:val="0C523489"/>
    <w:rsid w:val="0CCA1272"/>
    <w:rsid w:val="0CE513CD"/>
    <w:rsid w:val="0CEC743A"/>
    <w:rsid w:val="0D410B0B"/>
    <w:rsid w:val="0D9360AC"/>
    <w:rsid w:val="0D9755F8"/>
    <w:rsid w:val="0E2E7DCD"/>
    <w:rsid w:val="0E572FD9"/>
    <w:rsid w:val="0ED916B3"/>
    <w:rsid w:val="0EE00602"/>
    <w:rsid w:val="0EEA79A9"/>
    <w:rsid w:val="0EEC54CF"/>
    <w:rsid w:val="0F3F1AA3"/>
    <w:rsid w:val="0F557518"/>
    <w:rsid w:val="0F672DA8"/>
    <w:rsid w:val="0FC1070A"/>
    <w:rsid w:val="0FD952F8"/>
    <w:rsid w:val="0FF14950"/>
    <w:rsid w:val="0FF87EA4"/>
    <w:rsid w:val="0FFC7994"/>
    <w:rsid w:val="102962AF"/>
    <w:rsid w:val="10EC17B7"/>
    <w:rsid w:val="11B323E7"/>
    <w:rsid w:val="11F03528"/>
    <w:rsid w:val="11F528ED"/>
    <w:rsid w:val="12254FB0"/>
    <w:rsid w:val="12E70F75"/>
    <w:rsid w:val="130F79DE"/>
    <w:rsid w:val="132316DC"/>
    <w:rsid w:val="1328546E"/>
    <w:rsid w:val="134042B4"/>
    <w:rsid w:val="134A4EBA"/>
    <w:rsid w:val="13954387"/>
    <w:rsid w:val="139F6FB4"/>
    <w:rsid w:val="13F310AE"/>
    <w:rsid w:val="14101C60"/>
    <w:rsid w:val="14263231"/>
    <w:rsid w:val="14264FE0"/>
    <w:rsid w:val="14AB3737"/>
    <w:rsid w:val="14D6620F"/>
    <w:rsid w:val="14F670A8"/>
    <w:rsid w:val="15035321"/>
    <w:rsid w:val="1508619E"/>
    <w:rsid w:val="15431BC1"/>
    <w:rsid w:val="15657D89"/>
    <w:rsid w:val="158A5A42"/>
    <w:rsid w:val="159A7681"/>
    <w:rsid w:val="15B60CCA"/>
    <w:rsid w:val="15F829AC"/>
    <w:rsid w:val="161B48EC"/>
    <w:rsid w:val="16753FFC"/>
    <w:rsid w:val="16CE195E"/>
    <w:rsid w:val="172577D0"/>
    <w:rsid w:val="17466590"/>
    <w:rsid w:val="17533871"/>
    <w:rsid w:val="175468D6"/>
    <w:rsid w:val="17577BA6"/>
    <w:rsid w:val="175C51BC"/>
    <w:rsid w:val="17D47448"/>
    <w:rsid w:val="17E01EA2"/>
    <w:rsid w:val="18041ADC"/>
    <w:rsid w:val="1840688C"/>
    <w:rsid w:val="187D53EA"/>
    <w:rsid w:val="18846779"/>
    <w:rsid w:val="188B5D59"/>
    <w:rsid w:val="18913A29"/>
    <w:rsid w:val="18944A48"/>
    <w:rsid w:val="18B5641A"/>
    <w:rsid w:val="18BC33A1"/>
    <w:rsid w:val="18ED431E"/>
    <w:rsid w:val="19197809"/>
    <w:rsid w:val="19297320"/>
    <w:rsid w:val="19306900"/>
    <w:rsid w:val="194F6D87"/>
    <w:rsid w:val="1977452F"/>
    <w:rsid w:val="199C2D7C"/>
    <w:rsid w:val="19C74C01"/>
    <w:rsid w:val="19DE635C"/>
    <w:rsid w:val="19EB5778"/>
    <w:rsid w:val="19F760DB"/>
    <w:rsid w:val="1A19394D"/>
    <w:rsid w:val="1A6F002D"/>
    <w:rsid w:val="1A9D1D74"/>
    <w:rsid w:val="1AAC7E8E"/>
    <w:rsid w:val="1AB175CD"/>
    <w:rsid w:val="1AC45552"/>
    <w:rsid w:val="1B252495"/>
    <w:rsid w:val="1B3A5814"/>
    <w:rsid w:val="1B4548E5"/>
    <w:rsid w:val="1B6B3C20"/>
    <w:rsid w:val="1B7F2E4A"/>
    <w:rsid w:val="1BA57132"/>
    <w:rsid w:val="1BC33A5C"/>
    <w:rsid w:val="1C024584"/>
    <w:rsid w:val="1C166281"/>
    <w:rsid w:val="1C2F2CF7"/>
    <w:rsid w:val="1C485D0F"/>
    <w:rsid w:val="1C4F79C9"/>
    <w:rsid w:val="1C962248"/>
    <w:rsid w:val="1CA707BF"/>
    <w:rsid w:val="1CB304A3"/>
    <w:rsid w:val="1D385D84"/>
    <w:rsid w:val="1D552DD9"/>
    <w:rsid w:val="1D606B20"/>
    <w:rsid w:val="1D795028"/>
    <w:rsid w:val="1D7E7C3A"/>
    <w:rsid w:val="1D807E3B"/>
    <w:rsid w:val="1DED6B6E"/>
    <w:rsid w:val="1E1213E8"/>
    <w:rsid w:val="1E262080"/>
    <w:rsid w:val="1E3C71C3"/>
    <w:rsid w:val="1E6C3F37"/>
    <w:rsid w:val="1EDD4E34"/>
    <w:rsid w:val="1F06438B"/>
    <w:rsid w:val="1F1840BF"/>
    <w:rsid w:val="1F282864"/>
    <w:rsid w:val="1F552C1D"/>
    <w:rsid w:val="1FAD4807"/>
    <w:rsid w:val="1FC44928"/>
    <w:rsid w:val="20035AD5"/>
    <w:rsid w:val="20176124"/>
    <w:rsid w:val="20801F1B"/>
    <w:rsid w:val="20947775"/>
    <w:rsid w:val="21045AEE"/>
    <w:rsid w:val="211F34E2"/>
    <w:rsid w:val="21556F04"/>
    <w:rsid w:val="215C25EF"/>
    <w:rsid w:val="2175086E"/>
    <w:rsid w:val="21AE4A34"/>
    <w:rsid w:val="21C1794F"/>
    <w:rsid w:val="21F11323"/>
    <w:rsid w:val="222271FB"/>
    <w:rsid w:val="222D78E3"/>
    <w:rsid w:val="2234120F"/>
    <w:rsid w:val="224F7DF7"/>
    <w:rsid w:val="22543660"/>
    <w:rsid w:val="22545267"/>
    <w:rsid w:val="22CC769A"/>
    <w:rsid w:val="22EC3898"/>
    <w:rsid w:val="2309444A"/>
    <w:rsid w:val="233C22E0"/>
    <w:rsid w:val="235C0834"/>
    <w:rsid w:val="23644A11"/>
    <w:rsid w:val="237A7B1F"/>
    <w:rsid w:val="2385238E"/>
    <w:rsid w:val="238806C9"/>
    <w:rsid w:val="23A75A11"/>
    <w:rsid w:val="23B25628"/>
    <w:rsid w:val="23BF2D5B"/>
    <w:rsid w:val="24294678"/>
    <w:rsid w:val="24305262"/>
    <w:rsid w:val="24B91EA0"/>
    <w:rsid w:val="24B944E6"/>
    <w:rsid w:val="24D42836"/>
    <w:rsid w:val="250273A3"/>
    <w:rsid w:val="251470D6"/>
    <w:rsid w:val="253B4663"/>
    <w:rsid w:val="255D282B"/>
    <w:rsid w:val="25720809"/>
    <w:rsid w:val="25794025"/>
    <w:rsid w:val="25BD151C"/>
    <w:rsid w:val="25E66CC5"/>
    <w:rsid w:val="26327EAB"/>
    <w:rsid w:val="26681488"/>
    <w:rsid w:val="26747E2C"/>
    <w:rsid w:val="26906C30"/>
    <w:rsid w:val="26EB3E67"/>
    <w:rsid w:val="26F862BF"/>
    <w:rsid w:val="2705317A"/>
    <w:rsid w:val="272D5FC2"/>
    <w:rsid w:val="27363334"/>
    <w:rsid w:val="27565784"/>
    <w:rsid w:val="275B723E"/>
    <w:rsid w:val="27E115FA"/>
    <w:rsid w:val="28360166"/>
    <w:rsid w:val="285B1CEE"/>
    <w:rsid w:val="287F0D0A"/>
    <w:rsid w:val="28AB5CD6"/>
    <w:rsid w:val="29325D7D"/>
    <w:rsid w:val="293D6BFB"/>
    <w:rsid w:val="298E38FB"/>
    <w:rsid w:val="29E5576E"/>
    <w:rsid w:val="2A465F84"/>
    <w:rsid w:val="2A5D507B"/>
    <w:rsid w:val="2A614B6C"/>
    <w:rsid w:val="2A6A59DA"/>
    <w:rsid w:val="2AB33C84"/>
    <w:rsid w:val="2ACA4E23"/>
    <w:rsid w:val="2ADC2444"/>
    <w:rsid w:val="2AF40319"/>
    <w:rsid w:val="2AF4778E"/>
    <w:rsid w:val="2B326508"/>
    <w:rsid w:val="2BDC10FF"/>
    <w:rsid w:val="2BE9443B"/>
    <w:rsid w:val="2BF612E4"/>
    <w:rsid w:val="2BFE70DC"/>
    <w:rsid w:val="2C526A51"/>
    <w:rsid w:val="2C7D286A"/>
    <w:rsid w:val="2C972AC7"/>
    <w:rsid w:val="2CA64AB8"/>
    <w:rsid w:val="2CCD0296"/>
    <w:rsid w:val="2CDD4252"/>
    <w:rsid w:val="2D1B54A6"/>
    <w:rsid w:val="2DB31B82"/>
    <w:rsid w:val="2DB96873"/>
    <w:rsid w:val="2E141EF5"/>
    <w:rsid w:val="2E2D218E"/>
    <w:rsid w:val="2E384821"/>
    <w:rsid w:val="2E50117F"/>
    <w:rsid w:val="2E89643F"/>
    <w:rsid w:val="2ED75F1A"/>
    <w:rsid w:val="2EEF1647"/>
    <w:rsid w:val="2EFE6E2D"/>
    <w:rsid w:val="2F2D326E"/>
    <w:rsid w:val="2FBB4D1E"/>
    <w:rsid w:val="2FDC6A42"/>
    <w:rsid w:val="300761B5"/>
    <w:rsid w:val="30274161"/>
    <w:rsid w:val="30B005FB"/>
    <w:rsid w:val="30CE5791"/>
    <w:rsid w:val="30E91417"/>
    <w:rsid w:val="310224D9"/>
    <w:rsid w:val="31152B7F"/>
    <w:rsid w:val="313C59EB"/>
    <w:rsid w:val="31660CB9"/>
    <w:rsid w:val="318B0720"/>
    <w:rsid w:val="319F5F79"/>
    <w:rsid w:val="31A67308"/>
    <w:rsid w:val="31AC744B"/>
    <w:rsid w:val="31F167D5"/>
    <w:rsid w:val="327032E6"/>
    <w:rsid w:val="32EB3B6C"/>
    <w:rsid w:val="33114C55"/>
    <w:rsid w:val="338F2515"/>
    <w:rsid w:val="33973471"/>
    <w:rsid w:val="33B977C6"/>
    <w:rsid w:val="33D4764D"/>
    <w:rsid w:val="33EC6187"/>
    <w:rsid w:val="341B3FDD"/>
    <w:rsid w:val="344A041F"/>
    <w:rsid w:val="344A2B14"/>
    <w:rsid w:val="34FA0097"/>
    <w:rsid w:val="34FE1B63"/>
    <w:rsid w:val="35076310"/>
    <w:rsid w:val="35416A46"/>
    <w:rsid w:val="3570366D"/>
    <w:rsid w:val="357847E0"/>
    <w:rsid w:val="35867B7C"/>
    <w:rsid w:val="358B6F41"/>
    <w:rsid w:val="359D0A22"/>
    <w:rsid w:val="35CA1CF3"/>
    <w:rsid w:val="35D95EFE"/>
    <w:rsid w:val="35F03248"/>
    <w:rsid w:val="3629460E"/>
    <w:rsid w:val="365E28A7"/>
    <w:rsid w:val="372907BF"/>
    <w:rsid w:val="37443C7B"/>
    <w:rsid w:val="374C0952"/>
    <w:rsid w:val="378328A0"/>
    <w:rsid w:val="37DD15AA"/>
    <w:rsid w:val="381E5E4A"/>
    <w:rsid w:val="382F44FB"/>
    <w:rsid w:val="385775AE"/>
    <w:rsid w:val="3891486E"/>
    <w:rsid w:val="38CB7504"/>
    <w:rsid w:val="38F65019"/>
    <w:rsid w:val="39382F3B"/>
    <w:rsid w:val="397C3770"/>
    <w:rsid w:val="39A16D33"/>
    <w:rsid w:val="39FA6443"/>
    <w:rsid w:val="3A0177D1"/>
    <w:rsid w:val="3A091BB3"/>
    <w:rsid w:val="3A137505"/>
    <w:rsid w:val="3A1505C3"/>
    <w:rsid w:val="3A241712"/>
    <w:rsid w:val="3A6E74FF"/>
    <w:rsid w:val="3A83468A"/>
    <w:rsid w:val="3AC77E09"/>
    <w:rsid w:val="3AD07C8C"/>
    <w:rsid w:val="3AD73496"/>
    <w:rsid w:val="3AFC7FF8"/>
    <w:rsid w:val="3B0D640A"/>
    <w:rsid w:val="3B471B5C"/>
    <w:rsid w:val="3B6E70E8"/>
    <w:rsid w:val="3B892174"/>
    <w:rsid w:val="3B8B1A48"/>
    <w:rsid w:val="3B985F13"/>
    <w:rsid w:val="3BE11ECB"/>
    <w:rsid w:val="3C6D73A0"/>
    <w:rsid w:val="3CAB7EC8"/>
    <w:rsid w:val="3CEA3233"/>
    <w:rsid w:val="3D393726"/>
    <w:rsid w:val="3D514CF4"/>
    <w:rsid w:val="3D5935DF"/>
    <w:rsid w:val="3D601752"/>
    <w:rsid w:val="3D7E738B"/>
    <w:rsid w:val="3D98669F"/>
    <w:rsid w:val="3DB35286"/>
    <w:rsid w:val="3DC92CFC"/>
    <w:rsid w:val="3DEE3D6A"/>
    <w:rsid w:val="3EAB41B0"/>
    <w:rsid w:val="3EBE3EE3"/>
    <w:rsid w:val="3EC62D97"/>
    <w:rsid w:val="3ED23E32"/>
    <w:rsid w:val="3ED74FA5"/>
    <w:rsid w:val="3EDA6843"/>
    <w:rsid w:val="3F1B1335"/>
    <w:rsid w:val="3F650802"/>
    <w:rsid w:val="3F7942AE"/>
    <w:rsid w:val="3F867571"/>
    <w:rsid w:val="3F8A2017"/>
    <w:rsid w:val="3FAE3F57"/>
    <w:rsid w:val="3FB34FFE"/>
    <w:rsid w:val="3FB974CF"/>
    <w:rsid w:val="40111C63"/>
    <w:rsid w:val="401C5365"/>
    <w:rsid w:val="409A0980"/>
    <w:rsid w:val="40AC3F0F"/>
    <w:rsid w:val="410F0A26"/>
    <w:rsid w:val="41B4781F"/>
    <w:rsid w:val="420A5691"/>
    <w:rsid w:val="42204EB5"/>
    <w:rsid w:val="4235270E"/>
    <w:rsid w:val="423A2BA1"/>
    <w:rsid w:val="426B45E0"/>
    <w:rsid w:val="428B4873"/>
    <w:rsid w:val="42A47894"/>
    <w:rsid w:val="42AD30E3"/>
    <w:rsid w:val="42BB3439"/>
    <w:rsid w:val="42E61C5A"/>
    <w:rsid w:val="434D750D"/>
    <w:rsid w:val="43813731"/>
    <w:rsid w:val="43A15B81"/>
    <w:rsid w:val="43D646DC"/>
    <w:rsid w:val="43F14D5A"/>
    <w:rsid w:val="44000FE3"/>
    <w:rsid w:val="44020D16"/>
    <w:rsid w:val="440F51E1"/>
    <w:rsid w:val="444D5F8B"/>
    <w:rsid w:val="44564BBE"/>
    <w:rsid w:val="447C2876"/>
    <w:rsid w:val="44A21CDC"/>
    <w:rsid w:val="44BF300A"/>
    <w:rsid w:val="44CE29A6"/>
    <w:rsid w:val="452673B5"/>
    <w:rsid w:val="45482758"/>
    <w:rsid w:val="45616DE1"/>
    <w:rsid w:val="459B6D2C"/>
    <w:rsid w:val="45B43C1F"/>
    <w:rsid w:val="45C049E4"/>
    <w:rsid w:val="46236D21"/>
    <w:rsid w:val="462E5DF2"/>
    <w:rsid w:val="463158E2"/>
    <w:rsid w:val="46715CDF"/>
    <w:rsid w:val="46853538"/>
    <w:rsid w:val="46B43DEC"/>
    <w:rsid w:val="46E464B1"/>
    <w:rsid w:val="47887345"/>
    <w:rsid w:val="47AA14A8"/>
    <w:rsid w:val="47AC3472"/>
    <w:rsid w:val="47B1727D"/>
    <w:rsid w:val="487A3570"/>
    <w:rsid w:val="488717E9"/>
    <w:rsid w:val="48F100D0"/>
    <w:rsid w:val="4901555D"/>
    <w:rsid w:val="490868D4"/>
    <w:rsid w:val="49155047"/>
    <w:rsid w:val="49310DE8"/>
    <w:rsid w:val="49B4660E"/>
    <w:rsid w:val="49BB5353"/>
    <w:rsid w:val="49EC224C"/>
    <w:rsid w:val="4A031344"/>
    <w:rsid w:val="4A583DE9"/>
    <w:rsid w:val="4A965D14"/>
    <w:rsid w:val="4AB761FF"/>
    <w:rsid w:val="4ABB39CC"/>
    <w:rsid w:val="4B2E1DFD"/>
    <w:rsid w:val="4B375749"/>
    <w:rsid w:val="4B8E10E1"/>
    <w:rsid w:val="4BA121D7"/>
    <w:rsid w:val="4BB723E6"/>
    <w:rsid w:val="4BD17514"/>
    <w:rsid w:val="4BE34D18"/>
    <w:rsid w:val="4BE551A5"/>
    <w:rsid w:val="4BEF7DD1"/>
    <w:rsid w:val="4BF36A46"/>
    <w:rsid w:val="4C0C62C8"/>
    <w:rsid w:val="4C39104D"/>
    <w:rsid w:val="4C5C4D3B"/>
    <w:rsid w:val="4C82323B"/>
    <w:rsid w:val="4C96649F"/>
    <w:rsid w:val="4CA26BF2"/>
    <w:rsid w:val="4CCF550D"/>
    <w:rsid w:val="4CD11285"/>
    <w:rsid w:val="4CD34FFD"/>
    <w:rsid w:val="4CD60F91"/>
    <w:rsid w:val="4D001B6A"/>
    <w:rsid w:val="4D1A3088"/>
    <w:rsid w:val="4D6B6165"/>
    <w:rsid w:val="4DA150FB"/>
    <w:rsid w:val="4DC41837"/>
    <w:rsid w:val="4E1E04FA"/>
    <w:rsid w:val="4E4A12EF"/>
    <w:rsid w:val="4E8332C9"/>
    <w:rsid w:val="4E920EE8"/>
    <w:rsid w:val="4EA824BA"/>
    <w:rsid w:val="4EE40AC1"/>
    <w:rsid w:val="4EF86F9D"/>
    <w:rsid w:val="4F1B712F"/>
    <w:rsid w:val="4F7800DE"/>
    <w:rsid w:val="4FA26F09"/>
    <w:rsid w:val="4FD86DCF"/>
    <w:rsid w:val="506B7C43"/>
    <w:rsid w:val="50C3263F"/>
    <w:rsid w:val="50E772C9"/>
    <w:rsid w:val="510A745C"/>
    <w:rsid w:val="511300BE"/>
    <w:rsid w:val="515D21C4"/>
    <w:rsid w:val="51654692"/>
    <w:rsid w:val="51667663"/>
    <w:rsid w:val="51B66C9C"/>
    <w:rsid w:val="5205658F"/>
    <w:rsid w:val="527F6822"/>
    <w:rsid w:val="52950FA7"/>
    <w:rsid w:val="52B02456"/>
    <w:rsid w:val="52BC6534"/>
    <w:rsid w:val="52D7336D"/>
    <w:rsid w:val="530D4FE1"/>
    <w:rsid w:val="53283BC9"/>
    <w:rsid w:val="533A7098"/>
    <w:rsid w:val="533B7DA0"/>
    <w:rsid w:val="533C1422"/>
    <w:rsid w:val="533C21E8"/>
    <w:rsid w:val="53487DC7"/>
    <w:rsid w:val="53672943"/>
    <w:rsid w:val="53AE40CE"/>
    <w:rsid w:val="53C05963"/>
    <w:rsid w:val="53C1640D"/>
    <w:rsid w:val="53D1600F"/>
    <w:rsid w:val="53DF24DA"/>
    <w:rsid w:val="54212AF2"/>
    <w:rsid w:val="542B571F"/>
    <w:rsid w:val="54332825"/>
    <w:rsid w:val="55061CE8"/>
    <w:rsid w:val="550A7A2A"/>
    <w:rsid w:val="551E5284"/>
    <w:rsid w:val="553D2A88"/>
    <w:rsid w:val="55425416"/>
    <w:rsid w:val="55945F73"/>
    <w:rsid w:val="559C6C1A"/>
    <w:rsid w:val="55A0723D"/>
    <w:rsid w:val="55C776C9"/>
    <w:rsid w:val="56004989"/>
    <w:rsid w:val="562C5699"/>
    <w:rsid w:val="56777AE0"/>
    <w:rsid w:val="56BE6D1E"/>
    <w:rsid w:val="573A5D9A"/>
    <w:rsid w:val="57715B3F"/>
    <w:rsid w:val="5785783C"/>
    <w:rsid w:val="57C94C59"/>
    <w:rsid w:val="58331046"/>
    <w:rsid w:val="58360B36"/>
    <w:rsid w:val="588775B7"/>
    <w:rsid w:val="58A12453"/>
    <w:rsid w:val="58BF0B2C"/>
    <w:rsid w:val="58E6430A"/>
    <w:rsid w:val="58EF7663"/>
    <w:rsid w:val="58FD3402"/>
    <w:rsid w:val="59255A17"/>
    <w:rsid w:val="596811C3"/>
    <w:rsid w:val="59776E95"/>
    <w:rsid w:val="59E545C2"/>
    <w:rsid w:val="5A33532D"/>
    <w:rsid w:val="5A821E11"/>
    <w:rsid w:val="5AA24261"/>
    <w:rsid w:val="5AB204DE"/>
    <w:rsid w:val="5AC03E2B"/>
    <w:rsid w:val="5B062A42"/>
    <w:rsid w:val="5BBC1352"/>
    <w:rsid w:val="5BED775E"/>
    <w:rsid w:val="5BFD30FD"/>
    <w:rsid w:val="5C403D31"/>
    <w:rsid w:val="5C4A7263"/>
    <w:rsid w:val="5C67444F"/>
    <w:rsid w:val="5C91458D"/>
    <w:rsid w:val="5CA442C0"/>
    <w:rsid w:val="5CCC3AA7"/>
    <w:rsid w:val="5CF27722"/>
    <w:rsid w:val="5CFA65D6"/>
    <w:rsid w:val="5D235B2D"/>
    <w:rsid w:val="5D3C099D"/>
    <w:rsid w:val="5D6121B1"/>
    <w:rsid w:val="5D7A3273"/>
    <w:rsid w:val="5D9562FF"/>
    <w:rsid w:val="5DB22A0D"/>
    <w:rsid w:val="5E851C93"/>
    <w:rsid w:val="5E875C48"/>
    <w:rsid w:val="5ECC774C"/>
    <w:rsid w:val="60196D73"/>
    <w:rsid w:val="602D0A71"/>
    <w:rsid w:val="6042451C"/>
    <w:rsid w:val="605E0C2A"/>
    <w:rsid w:val="60624BBE"/>
    <w:rsid w:val="607E12CC"/>
    <w:rsid w:val="60CF38D6"/>
    <w:rsid w:val="61327B3F"/>
    <w:rsid w:val="613876CD"/>
    <w:rsid w:val="61453B98"/>
    <w:rsid w:val="61AB60F1"/>
    <w:rsid w:val="61AF1358"/>
    <w:rsid w:val="61CD42B9"/>
    <w:rsid w:val="61D94A0C"/>
    <w:rsid w:val="61E714B9"/>
    <w:rsid w:val="61FC06FB"/>
    <w:rsid w:val="6210360A"/>
    <w:rsid w:val="624D0F56"/>
    <w:rsid w:val="626A7D5A"/>
    <w:rsid w:val="628C1A7E"/>
    <w:rsid w:val="62A414BE"/>
    <w:rsid w:val="62B16E48"/>
    <w:rsid w:val="62CE02E9"/>
    <w:rsid w:val="62FB30A8"/>
    <w:rsid w:val="634E31D8"/>
    <w:rsid w:val="635B259F"/>
    <w:rsid w:val="637A35DA"/>
    <w:rsid w:val="639A466F"/>
    <w:rsid w:val="63AE1F83"/>
    <w:rsid w:val="63B868A3"/>
    <w:rsid w:val="63BA4CBD"/>
    <w:rsid w:val="63CD05A1"/>
    <w:rsid w:val="63F0428F"/>
    <w:rsid w:val="64306E0A"/>
    <w:rsid w:val="647C5B23"/>
    <w:rsid w:val="64813139"/>
    <w:rsid w:val="64955AF0"/>
    <w:rsid w:val="64B82FFF"/>
    <w:rsid w:val="64C64FF0"/>
    <w:rsid w:val="64CF20F6"/>
    <w:rsid w:val="651B533C"/>
    <w:rsid w:val="65270184"/>
    <w:rsid w:val="65387C9C"/>
    <w:rsid w:val="656C203B"/>
    <w:rsid w:val="659375C8"/>
    <w:rsid w:val="659B022A"/>
    <w:rsid w:val="65A34A58"/>
    <w:rsid w:val="65B015E2"/>
    <w:rsid w:val="65BC17AD"/>
    <w:rsid w:val="662D17CA"/>
    <w:rsid w:val="666B0223"/>
    <w:rsid w:val="66770C98"/>
    <w:rsid w:val="667967BE"/>
    <w:rsid w:val="668F7D8F"/>
    <w:rsid w:val="66A31275"/>
    <w:rsid w:val="66AD46B9"/>
    <w:rsid w:val="670E4A09"/>
    <w:rsid w:val="67452B44"/>
    <w:rsid w:val="67753429"/>
    <w:rsid w:val="678278F4"/>
    <w:rsid w:val="6796339F"/>
    <w:rsid w:val="679F4002"/>
    <w:rsid w:val="67A96C2F"/>
    <w:rsid w:val="67AA5FF9"/>
    <w:rsid w:val="67C220BC"/>
    <w:rsid w:val="67DD50DA"/>
    <w:rsid w:val="67FD6F7B"/>
    <w:rsid w:val="68077DF9"/>
    <w:rsid w:val="681D13CB"/>
    <w:rsid w:val="684B396E"/>
    <w:rsid w:val="68656D1C"/>
    <w:rsid w:val="68863414"/>
    <w:rsid w:val="68882CE8"/>
    <w:rsid w:val="68923B67"/>
    <w:rsid w:val="68B0223F"/>
    <w:rsid w:val="68C36F97"/>
    <w:rsid w:val="68E9611C"/>
    <w:rsid w:val="69483A2C"/>
    <w:rsid w:val="697D4CAF"/>
    <w:rsid w:val="6984183B"/>
    <w:rsid w:val="699D0A15"/>
    <w:rsid w:val="69F36887"/>
    <w:rsid w:val="6A813E93"/>
    <w:rsid w:val="6AA33E09"/>
    <w:rsid w:val="6AAB7162"/>
    <w:rsid w:val="6ADE5F45"/>
    <w:rsid w:val="6AED777A"/>
    <w:rsid w:val="6AF723A7"/>
    <w:rsid w:val="6AFE28BF"/>
    <w:rsid w:val="6B2113AF"/>
    <w:rsid w:val="6B221D8A"/>
    <w:rsid w:val="6B231B45"/>
    <w:rsid w:val="6B32393F"/>
    <w:rsid w:val="6B6A4927"/>
    <w:rsid w:val="6B8754D9"/>
    <w:rsid w:val="6BCF718D"/>
    <w:rsid w:val="6C101972"/>
    <w:rsid w:val="6C661592"/>
    <w:rsid w:val="6C6E48EB"/>
    <w:rsid w:val="6C97799E"/>
    <w:rsid w:val="6CEE3336"/>
    <w:rsid w:val="6D3C22F3"/>
    <w:rsid w:val="6DA2484C"/>
    <w:rsid w:val="6DB620A5"/>
    <w:rsid w:val="6DC61432"/>
    <w:rsid w:val="6E0E3C8F"/>
    <w:rsid w:val="6E46167B"/>
    <w:rsid w:val="6EAC5256"/>
    <w:rsid w:val="6EAF1950"/>
    <w:rsid w:val="6ED70525"/>
    <w:rsid w:val="6EE669BA"/>
    <w:rsid w:val="6EF74724"/>
    <w:rsid w:val="6FC00FB9"/>
    <w:rsid w:val="6FF13869"/>
    <w:rsid w:val="70182BA3"/>
    <w:rsid w:val="701D640C"/>
    <w:rsid w:val="70253512"/>
    <w:rsid w:val="70473B95"/>
    <w:rsid w:val="7073427E"/>
    <w:rsid w:val="70812E3F"/>
    <w:rsid w:val="709B5583"/>
    <w:rsid w:val="70C44AD9"/>
    <w:rsid w:val="70C64CF5"/>
    <w:rsid w:val="70EE7DA8"/>
    <w:rsid w:val="70F52EE5"/>
    <w:rsid w:val="711F7F62"/>
    <w:rsid w:val="71926986"/>
    <w:rsid w:val="71A86F83"/>
    <w:rsid w:val="722021E3"/>
    <w:rsid w:val="722F2426"/>
    <w:rsid w:val="72A93F87"/>
    <w:rsid w:val="72D52FCE"/>
    <w:rsid w:val="72FC7376"/>
    <w:rsid w:val="73155AC0"/>
    <w:rsid w:val="731D6723"/>
    <w:rsid w:val="73263829"/>
    <w:rsid w:val="73272651"/>
    <w:rsid w:val="73B250BD"/>
    <w:rsid w:val="73D72D76"/>
    <w:rsid w:val="740217F6"/>
    <w:rsid w:val="74107F48"/>
    <w:rsid w:val="74166EA5"/>
    <w:rsid w:val="74277859"/>
    <w:rsid w:val="74D86DA5"/>
    <w:rsid w:val="74DF1EE2"/>
    <w:rsid w:val="74E17ECE"/>
    <w:rsid w:val="74E94074"/>
    <w:rsid w:val="7548217D"/>
    <w:rsid w:val="75967FA7"/>
    <w:rsid w:val="76120095"/>
    <w:rsid w:val="76870A83"/>
    <w:rsid w:val="768A40CF"/>
    <w:rsid w:val="769767EC"/>
    <w:rsid w:val="769B62DC"/>
    <w:rsid w:val="76C43A85"/>
    <w:rsid w:val="76EF03D6"/>
    <w:rsid w:val="76FB6D7B"/>
    <w:rsid w:val="77214519"/>
    <w:rsid w:val="774E77F3"/>
    <w:rsid w:val="77697F82"/>
    <w:rsid w:val="7771703D"/>
    <w:rsid w:val="77890D8F"/>
    <w:rsid w:val="77B70EF4"/>
    <w:rsid w:val="77C41863"/>
    <w:rsid w:val="77FC749C"/>
    <w:rsid w:val="780103C1"/>
    <w:rsid w:val="780B7492"/>
    <w:rsid w:val="78147BFA"/>
    <w:rsid w:val="78277110"/>
    <w:rsid w:val="7835583F"/>
    <w:rsid w:val="786D1EFA"/>
    <w:rsid w:val="788F1E71"/>
    <w:rsid w:val="78AF606F"/>
    <w:rsid w:val="78ED4485"/>
    <w:rsid w:val="78F46178"/>
    <w:rsid w:val="791E13C1"/>
    <w:rsid w:val="792E3438"/>
    <w:rsid w:val="79751067"/>
    <w:rsid w:val="79E41D48"/>
    <w:rsid w:val="79FE72AE"/>
    <w:rsid w:val="7A2B6214"/>
    <w:rsid w:val="7AA03EC1"/>
    <w:rsid w:val="7AAA11E4"/>
    <w:rsid w:val="7B147FAF"/>
    <w:rsid w:val="7B170503"/>
    <w:rsid w:val="7B537186"/>
    <w:rsid w:val="7C570EF7"/>
    <w:rsid w:val="7C9F63FA"/>
    <w:rsid w:val="7CC77E2B"/>
    <w:rsid w:val="7D071FAE"/>
    <w:rsid w:val="7D163065"/>
    <w:rsid w:val="7D180687"/>
    <w:rsid w:val="7D515947"/>
    <w:rsid w:val="7D7D15ED"/>
    <w:rsid w:val="7E1C41A7"/>
    <w:rsid w:val="7E2A10C7"/>
    <w:rsid w:val="7E53749D"/>
    <w:rsid w:val="7E80397F"/>
    <w:rsid w:val="7E9F26E2"/>
    <w:rsid w:val="7EAF6DC9"/>
    <w:rsid w:val="7EB4618D"/>
    <w:rsid w:val="7F3C6183"/>
    <w:rsid w:val="7F673200"/>
    <w:rsid w:val="7F8042C1"/>
    <w:rsid w:val="7FA2248A"/>
    <w:rsid w:val="7FA97C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hint="default" w:ascii="Calibri" w:hAnsi="Calibri" w:eastAsia="宋体" w:cs="Times New Roman"/>
      <w:kern w:val="2"/>
      <w:sz w:val="21"/>
      <w:szCs w:val="24"/>
      <w:lang w:val="en-US" w:eastAsia="zh-CN" w:bidi="ar-SA"/>
    </w:rPr>
  </w:style>
  <w:style w:type="paragraph" w:styleId="3">
    <w:name w:val="heading 1"/>
    <w:basedOn w:val="1"/>
    <w:next w:val="1"/>
    <w:autoRedefine/>
    <w:qFormat/>
    <w:uiPriority w:val="0"/>
    <w:pPr>
      <w:keepNext/>
      <w:keepLines/>
      <w:pageBreakBefore/>
      <w:spacing w:before="50" w:beforeLines="50" w:after="50" w:afterLines="50" w:line="560" w:lineRule="exact"/>
      <w:jc w:val="center"/>
      <w:outlineLvl w:val="0"/>
    </w:pPr>
    <w:rPr>
      <w:rFonts w:eastAsia="方正小标宋简体"/>
      <w:kern w:val="44"/>
      <w:sz w:val="44"/>
    </w:rPr>
  </w:style>
  <w:style w:type="paragraph" w:styleId="4">
    <w:name w:val="heading 2"/>
    <w:basedOn w:val="1"/>
    <w:next w:val="1"/>
    <w:qFormat/>
    <w:uiPriority w:val="0"/>
    <w:pPr>
      <w:keepNext/>
      <w:keepLines/>
      <w:spacing w:before="50" w:beforeLines="50" w:after="50" w:afterLines="50" w:line="560" w:lineRule="exact"/>
      <w:jc w:val="center"/>
      <w:outlineLvl w:val="1"/>
    </w:pPr>
    <w:rPr>
      <w:rFonts w:ascii="Arial" w:hAnsi="Arial" w:eastAsia="方正黑体简体"/>
      <w:sz w:val="32"/>
    </w:rPr>
  </w:style>
  <w:style w:type="paragraph" w:styleId="5">
    <w:name w:val="heading 3"/>
    <w:basedOn w:val="1"/>
    <w:next w:val="1"/>
    <w:qFormat/>
    <w:uiPriority w:val="0"/>
    <w:pPr>
      <w:keepNext/>
      <w:keepLines/>
      <w:spacing w:line="560" w:lineRule="exact"/>
      <w:ind w:firstLine="880" w:firstLineChars="200"/>
      <w:jc w:val="both"/>
      <w:outlineLvl w:val="2"/>
    </w:pPr>
    <w:rPr>
      <w:rFonts w:eastAsia="方正楷体简体"/>
      <w:b/>
      <w:sz w:val="32"/>
      <w:szCs w:val="32"/>
    </w:rPr>
  </w:style>
  <w:style w:type="paragraph" w:styleId="6">
    <w:name w:val="heading 4"/>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7">
    <w:name w:val="Default Paragraph Font"/>
    <w:autoRedefine/>
    <w:qFormat/>
    <w:uiPriority w:val="0"/>
  </w:style>
  <w:style w:type="table" w:default="1" w:styleId="15">
    <w:name w:val="Normal Table"/>
    <w:autoRedefine/>
    <w:qFormat/>
    <w:uiPriority w:val="0"/>
    <w:tblPr>
      <w:tblCellMar>
        <w:top w:w="0" w:type="dxa"/>
        <w:left w:w="108" w:type="dxa"/>
        <w:bottom w:w="0" w:type="dxa"/>
        <w:right w:w="108" w:type="dxa"/>
      </w:tblCellMar>
    </w:tblPr>
  </w:style>
  <w:style w:type="paragraph" w:styleId="2">
    <w:name w:val="index 4"/>
    <w:basedOn w:val="1"/>
    <w:next w:val="1"/>
    <w:qFormat/>
    <w:uiPriority w:val="99"/>
    <w:pPr>
      <w:tabs>
        <w:tab w:val="left" w:pos="0"/>
      </w:tabs>
    </w:pPr>
    <w:rPr>
      <w:szCs w:val="24"/>
    </w:rPr>
  </w:style>
  <w:style w:type="paragraph" w:styleId="7">
    <w:name w:val="annotation text"/>
    <w:basedOn w:val="1"/>
    <w:autoRedefine/>
    <w:qFormat/>
    <w:uiPriority w:val="0"/>
    <w:pPr>
      <w:jc w:val="left"/>
    </w:pPr>
  </w:style>
  <w:style w:type="paragraph" w:styleId="8">
    <w:name w:val="toc 3"/>
    <w:basedOn w:val="1"/>
    <w:next w:val="1"/>
    <w:autoRedefine/>
    <w:qFormat/>
    <w:uiPriority w:val="0"/>
    <w:pPr>
      <w:ind w:left="840" w:leftChars="400"/>
    </w:pPr>
    <w:rPr>
      <w:rFonts w:hint="default"/>
      <w:sz w:val="21"/>
      <w:szCs w:val="24"/>
    </w:rPr>
  </w:style>
  <w:style w:type="paragraph" w:styleId="9">
    <w:name w:val="footer"/>
    <w:basedOn w:val="1"/>
    <w:autoRedefine/>
    <w:qFormat/>
    <w:uiPriority w:val="0"/>
    <w:pPr>
      <w:tabs>
        <w:tab w:val="center" w:pos="4153"/>
        <w:tab w:val="right" w:pos="8306"/>
      </w:tabs>
      <w:snapToGrid w:val="0"/>
      <w:jc w:val="left"/>
    </w:pPr>
    <w:rPr>
      <w:rFonts w:hint="default"/>
      <w:sz w:val="18"/>
      <w:szCs w:val="24"/>
    </w:rPr>
  </w:style>
  <w:style w:type="paragraph" w:styleId="10">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autoRedefine/>
    <w:qFormat/>
    <w:uiPriority w:val="0"/>
    <w:rPr>
      <w:rFonts w:hint="default"/>
      <w:sz w:val="21"/>
      <w:szCs w:val="24"/>
    </w:rPr>
  </w:style>
  <w:style w:type="paragraph" w:styleId="12">
    <w:name w:val="footnote text"/>
    <w:basedOn w:val="1"/>
    <w:autoRedefine/>
    <w:qFormat/>
    <w:uiPriority w:val="0"/>
    <w:pPr>
      <w:snapToGrid w:val="0"/>
      <w:jc w:val="left"/>
    </w:pPr>
    <w:rPr>
      <w:sz w:val="18"/>
    </w:rPr>
  </w:style>
  <w:style w:type="paragraph" w:styleId="13">
    <w:name w:val="toc 2"/>
    <w:basedOn w:val="1"/>
    <w:next w:val="1"/>
    <w:autoRedefine/>
    <w:qFormat/>
    <w:uiPriority w:val="0"/>
    <w:pPr>
      <w:ind w:left="420" w:leftChars="200"/>
    </w:pPr>
    <w:rPr>
      <w:rFonts w:hint="default"/>
      <w:sz w:val="21"/>
      <w:szCs w:val="24"/>
    </w:rPr>
  </w:style>
  <w:style w:type="paragraph" w:styleId="14">
    <w:name w:val="Normal (Web)"/>
    <w:basedOn w:val="1"/>
    <w:autoRedefine/>
    <w:qFormat/>
    <w:uiPriority w:val="0"/>
    <w:rPr>
      <w:rFonts w:hint="default"/>
      <w:sz w:val="24"/>
      <w:szCs w:val="24"/>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autoRedefine/>
    <w:qFormat/>
    <w:uiPriority w:val="0"/>
    <w:rPr>
      <w:rFonts w:hint="default"/>
      <w:b/>
      <w:sz w:val="24"/>
      <w:szCs w:val="24"/>
    </w:rPr>
  </w:style>
  <w:style w:type="character" w:styleId="19">
    <w:name w:val="footnote reference"/>
    <w:basedOn w:val="17"/>
    <w:autoRedefine/>
    <w:qFormat/>
    <w:uiPriority w:val="0"/>
    <w:rPr>
      <w:vertAlign w:val="superscript"/>
    </w:rPr>
  </w:style>
  <w:style w:type="paragraph" w:styleId="20">
    <w:name w:val="List Paragraph"/>
    <w:basedOn w:val="1"/>
    <w:autoRedefine/>
    <w:qFormat/>
    <w:uiPriority w:val="0"/>
    <w:pPr>
      <w:ind w:firstLine="420" w:firstLineChars="200"/>
    </w:pPr>
    <w:rPr>
      <w:rFonts w:hint="default" w:cs="Arial"/>
      <w:sz w:val="21"/>
      <w:szCs w:val="21"/>
    </w:rPr>
  </w:style>
  <w:style w:type="character" w:customStyle="1" w:styleId="21">
    <w:name w:val="font11"/>
    <w:basedOn w:val="17"/>
    <w:autoRedefine/>
    <w:qFormat/>
    <w:uiPriority w:val="0"/>
    <w:rPr>
      <w:rFonts w:hint="eastAsia" w:ascii="仿宋" w:hAnsi="仿宋" w:eastAsia="仿宋" w:cs="仿宋"/>
      <w:b/>
      <w:bCs/>
      <w:color w:val="000000"/>
      <w:sz w:val="21"/>
      <w:szCs w:val="21"/>
      <w:u w:val="none"/>
    </w:rPr>
  </w:style>
  <w:style w:type="character" w:customStyle="1" w:styleId="22">
    <w:name w:val="font71"/>
    <w:basedOn w:val="17"/>
    <w:autoRedefine/>
    <w:qFormat/>
    <w:uiPriority w:val="0"/>
    <w:rPr>
      <w:rFonts w:hint="default" w:ascii="Times New Roman" w:hAnsi="Times New Roman" w:cs="Times New Roman"/>
      <w:b/>
      <w:bCs/>
      <w:color w:val="000000"/>
      <w:sz w:val="21"/>
      <w:szCs w:val="21"/>
      <w:u w:val="none"/>
    </w:rPr>
  </w:style>
  <w:style w:type="character" w:customStyle="1" w:styleId="23">
    <w:name w:val="font31"/>
    <w:basedOn w:val="17"/>
    <w:autoRedefine/>
    <w:qFormat/>
    <w:uiPriority w:val="0"/>
    <w:rPr>
      <w:rFonts w:hint="default" w:ascii="Times New Roman" w:hAnsi="Times New Roman" w:cs="Times New Roman"/>
      <w:color w:val="000000"/>
      <w:sz w:val="21"/>
      <w:szCs w:val="21"/>
      <w:u w:val="none"/>
    </w:rPr>
  </w:style>
  <w:style w:type="character" w:customStyle="1" w:styleId="24">
    <w:name w:val="font21"/>
    <w:basedOn w:val="17"/>
    <w:autoRedefine/>
    <w:qFormat/>
    <w:uiPriority w:val="0"/>
    <w:rPr>
      <w:rFonts w:hint="eastAsia" w:ascii="仿宋" w:hAnsi="仿宋" w:eastAsia="仿宋" w:cs="仿宋"/>
      <w:color w:val="000000"/>
      <w:sz w:val="21"/>
      <w:szCs w:val="21"/>
      <w:u w:val="none"/>
    </w:rPr>
  </w:style>
  <w:style w:type="character" w:customStyle="1" w:styleId="25">
    <w:name w:val="font61"/>
    <w:basedOn w:val="17"/>
    <w:autoRedefine/>
    <w:qFormat/>
    <w:uiPriority w:val="0"/>
    <w:rPr>
      <w:rFonts w:hint="eastAsia" w:ascii="仿宋" w:hAnsi="仿宋" w:eastAsia="仿宋" w:cs="仿宋"/>
      <w:color w:val="000000"/>
      <w:sz w:val="21"/>
      <w:szCs w:val="21"/>
      <w:u w:val="none"/>
    </w:rPr>
  </w:style>
  <w:style w:type="character" w:customStyle="1" w:styleId="26">
    <w:name w:val="font51"/>
    <w:basedOn w:val="17"/>
    <w:autoRedefine/>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2931</Words>
  <Characters>2972</Characters>
  <Paragraphs>738</Paragraphs>
  <TotalTime>108</TotalTime>
  <ScaleCrop>false</ScaleCrop>
  <LinksUpToDate>false</LinksUpToDate>
  <CharactersWithSpaces>3014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2025-11-18T04:50:00Z</dcterms:created>
  <dc:creator>未来</dc:creator>
  <cp:lastModifiedBy>Li.xr</cp:lastModifiedBy>
  <cp:lastPrinted>2026-10-12T02:19:00Z</cp:lastPrinted>
  <dcterms:modified xsi:type="dcterms:W3CDTF">2026-10-13T07:38:52Z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1F8EE91A4EBB43D1860E2DC04D1336D1_13</vt:lpwstr>
  </property>
  <property fmtid="{D5CDD505-2E9C-101B-9397-08002B2CF9AE}" pid="4" name="KSOTemplateDocerSaveRecord">
    <vt:lpwstr>eyJoZGlkIjoiN2NkZDZmOTQxMTc5M2JjYzI4NzQ0MjM3ZmEzMWNhODYiLCJ1c2VySWQiOiI2NzIwMzk5OTUifQ==</vt:lpwstr>
  </property>
  <property fmtid="{D5CDD505-2E9C-101B-9397-08002B2CF9AE}" pid="5" name="KSOSaveFontToCloudKey">
    <vt:lpwstr>459882088_cloud</vt:lpwstr>
  </property>
</Properties>
</file>